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B3103">
      <w:pPr>
        <w:pStyle w:val="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 w14:paraId="747F85C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70A8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</w:rPr>
        <w:t>武汉市城市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  <w:lang w:eastAsia="zh-CN"/>
        </w:rPr>
        <w:t>精细化管理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</w:rPr>
        <w:t>评价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  <w:lang w:eastAsia="zh-CN"/>
        </w:rPr>
        <w:t>办法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</w:rPr>
        <w:t>（202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highlight w:val="none"/>
        </w:rPr>
        <w:t>年）</w:t>
      </w:r>
    </w:p>
    <w:p w14:paraId="31085452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highlight w:val="none"/>
          <w:lang w:val="en-US" w:eastAsia="zh-CN" w:bidi="ar-SA"/>
        </w:rPr>
        <w:t>（送审稿）</w:t>
      </w:r>
    </w:p>
    <w:p w14:paraId="20B62ED9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8120D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为切实加强城市管理工作，进一步提升城市精细化管理水平，依据《武汉市城市综合管理条例》等法律法规，结合工作实际，特制定本办法。</w:t>
      </w:r>
    </w:p>
    <w:p w14:paraId="748FB82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工作目标</w:t>
      </w:r>
    </w:p>
    <w:p w14:paraId="720892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u w:val="none"/>
          <w:rtl w:val="0"/>
          <w:lang w:val="en-US" w:eastAsia="zh-CN" w:bidi="ar"/>
        </w:rPr>
        <w:t>认真践行人民城市理念，对照“平、明、绿、美、净、齐、畅、宁”标准，聚焦城市管理中的重点难点问题，坚持现场查、云上算、群众评，重动态变化、重交办问题、重样本评价，健全科学完善的评价体系，深化精细管理、系统治理、科学治理，为加快建设国家中心城市，全力打造“五个中心”、全面建设现代化大武汉提供优质环境保障。</w:t>
      </w:r>
    </w:p>
    <w:p w14:paraId="487E51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评价体系</w:t>
      </w:r>
    </w:p>
    <w:p w14:paraId="44785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评价对象</w:t>
      </w:r>
    </w:p>
    <w:p w14:paraId="68B48F4F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1.各区人民政府（含开发区、长江新区、风景区管委会）。</w:t>
      </w:r>
    </w:p>
    <w:p w14:paraId="28AF798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2.城市管理单元（城市管理单元是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bidi="ar"/>
        </w:rPr>
        <w:t>精细化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bidi="ar"/>
        </w:rPr>
        <w:t>理的基础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bidi="ar"/>
        </w:rPr>
        <w:t>，划分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原则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bidi="ar"/>
        </w:rPr>
        <w:t>以街道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或片区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[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如风景区、机场、火车站周边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]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bidi="ar"/>
        </w:rPr>
        <w:t>为基础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bidi="ar"/>
        </w:rPr>
        <w:t>对辖区面积较大的街道可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u w:val="none"/>
          <w:shd w:val="clear" w:color="auto" w:fill="auto"/>
          <w:lang w:bidi="ar"/>
        </w:rPr>
        <w:t>城市功能特点、空间形态和治理便利细分为若干个单元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）。</w:t>
      </w:r>
    </w:p>
    <w:p w14:paraId="73DA56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评价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eastAsia="zh-CN"/>
        </w:rPr>
        <w:t>方法</w:t>
      </w:r>
    </w:p>
    <w:p w14:paraId="1F20AAEF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1.城区城市环境质量评价：由市城市精细化管理工作专班结合全市城市管理中心工作组织实施。</w:t>
      </w:r>
    </w:p>
    <w:p w14:paraId="75C146D7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2.城市管理单元环境质量评价：由各区人民政府对照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u w:val="none"/>
          <w:rtl w:val="0"/>
          <w:lang w:val="en-US" w:eastAsia="zh-CN" w:bidi="ar"/>
        </w:rPr>
        <w:t>“平、明、绿、美、净、齐、畅、宁”标准，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结合实际制定评价办法并组织实施。</w:t>
      </w:r>
    </w:p>
    <w:p w14:paraId="66674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（三）城区评价内容</w:t>
      </w:r>
    </w:p>
    <w:p w14:paraId="510B5A4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由全域管理评价、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样本质效评价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和多维感知评价3部分构成。</w:t>
      </w:r>
    </w:p>
    <w:p w14:paraId="4F6AE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1.全域管理评价</w:t>
      </w:r>
    </w:p>
    <w:p w14:paraId="57A904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围绕《武汉市城市精细化管理行动方案（2026—2028年）》，聚焦“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u w:val="none"/>
          <w:rtl w:val="0"/>
          <w:lang w:val="en-US" w:eastAsia="zh-CN" w:bidi="ar"/>
        </w:rPr>
        <w:t>平、明、绿、美、净、齐、畅、宁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”八大行动开展评价。</w:t>
      </w:r>
    </w:p>
    <w:p w14:paraId="52D525DB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2.样本质效评价</w:t>
      </w:r>
    </w:p>
    <w:p w14:paraId="03180C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主要包括增值评价、亮点评价、重点工作评价等内容。</w:t>
      </w:r>
    </w:p>
    <w:p w14:paraId="41B277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3.多维感知评价</w:t>
      </w:r>
    </w:p>
    <w:p w14:paraId="3D723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具体包括群众感知、群众参与、交办问题、宣传舆情等内容。</w:t>
      </w:r>
    </w:p>
    <w:p w14:paraId="5B17C7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（四）城区计分方式</w:t>
      </w:r>
    </w:p>
    <w:p w14:paraId="0E29BC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城市环境质量由高到低划分为A、B、C、D共4个等次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通过平台提取、日常巡查、现场核查等方式开展，根据评价内容计算各区分值，总分为100分，9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以上为A等次，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-9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分为B等次，8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分为C等次，8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分以下为D等次。</w:t>
      </w:r>
    </w:p>
    <w:p w14:paraId="5A0BEA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三、结果运用</w:t>
      </w:r>
    </w:p>
    <w:p w14:paraId="6D48862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充分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</w:rPr>
        <w:t>发挥“一委一办一平台”统筹协调作用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市城市精细化管理工作专班负责组织城市精细化管理评价工作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rtl w:val="0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评价结果每月报送市委、市政府，制发分析报告“点对点”反馈各区，</w:t>
      </w: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highlight w:val="none"/>
          <w:lang w:eastAsia="zh-CN"/>
        </w:rPr>
        <w:t>指出突出问题，提出改进建议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。市政府每季度召开推进会，对当季评价均分第一城区颁发“流动红旗”，评价靠后的城区发放“流动黄旗”。</w:t>
      </w:r>
    </w:p>
    <w:p w14:paraId="27381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（二）设置突出问题点位“红黑榜”，对重点工作任务推进不力，造成重大负面舆情或重大影响的突出问题立行立改。</w:t>
      </w:r>
    </w:p>
    <w:p w14:paraId="5F6194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三）设立城市管理专项评价奖励资金，实行专户管理。每年各城区分别上缴500万元，市级财政配套资金3000万元，用于城区月度、年度评价奖励。对城区月度评价等次为A奖励200万元，评价等次为B奖励50万元。对城区年度评价第一奖励1000万元，第二奖励600万元，第三奖励400万元。评价奖励资金用于市容环境整治提升工作。</w:t>
      </w:r>
    </w:p>
    <w:p w14:paraId="0C01DCA6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四）按照《武汉市政府系统大抓落实督查问效实施办法（试行）》相关要求，落实城市管理工作督查问效。对当月评价为“C”等次的城区工作提醒；对当月评价为“D”等次的城区通报批评；对连续2次评价为“D”等次的城区，由市政府分管领导约谈区政府分管负责人，对季度“流动黄旗”的城区，由市政府主要领导约谈区政府主要负责人；对落实上级城市管理工作要求、交办问题整改不及时不到位，被上级重点督查督办，造成重大负面舆情或造成重大影响的，将相关问题线索移交市纪委监委机关、市委组织部门依规依纪处理。</w:t>
      </w:r>
    </w:p>
    <w:p w14:paraId="548EC1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4ACD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附表：城市精细化管理评价细则</w:t>
      </w:r>
    </w:p>
    <w:p w14:paraId="6B770367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-1017905</wp:posOffset>
                </wp:positionH>
                <wp:positionV relativeFrom="paragraph">
                  <wp:posOffset>-551815</wp:posOffset>
                </wp:positionV>
                <wp:extent cx="474980" cy="1374775"/>
                <wp:effectExtent l="4445" t="4445" r="6350" b="11430"/>
                <wp:wrapNone/>
                <wp:docPr id="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137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5B0968">
                            <w:pPr>
                              <w:pStyle w:val="8"/>
                              <w:tabs>
                                <w:tab w:val="left" w:pos="8708"/>
                                <w:tab w:val="clear" w:pos="4153"/>
                                <w:tab w:val="clear" w:pos="8306"/>
                              </w:tabs>
                              <w:ind w:left="350" w:right="372"/>
                              <w:jc w:val="both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14"/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Style w:val="14"/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14"/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－</w:t>
                            </w:r>
                          </w:p>
                          <w:p w14:paraId="632D9CC6">
                            <w:p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80.15pt;margin-top:-43.45pt;height:108.25pt;width:37.4pt;z-index:251659264;mso-width-relative:page;mso-height-relative:page;" fillcolor="#FFFFFF" filled="t" stroked="t" coordsize="21600,21600" o:gfxdata="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4ruadcAAAAMAQAADwAAAAAAAAABACAA&#10;AAAiAAAAZHJzL2Rvd25yZXYueG1sUEsBAhQAFAAAAAgAh07iQGRgk9EOAgAARAQAAA4AAAAAAAAA&#10;AQAgAAAAJgEAAGRycy9lMm9Eb2MueG1sUEsFBgAAAAAGAAYAWQEAAKYFAAAAAA==&#10;">
                <v:fill on="t" focussize="0,0"/>
                <v:stroke color="#FFFFFF" joinstyle="miter"/>
                <v:imagedata o:title=""/>
                <o:lock v:ext="edit" aspectratio="f"/>
                <v:textbox style="layout-flow:vertical-ideographic;">
                  <w:txbxContent>
                    <w:p w14:paraId="755B0968">
                      <w:pPr>
                        <w:pStyle w:val="8"/>
                        <w:tabs>
                          <w:tab w:val="left" w:pos="8708"/>
                          <w:tab w:val="clear" w:pos="4153"/>
                          <w:tab w:val="clear" w:pos="8306"/>
                        </w:tabs>
                        <w:ind w:left="350" w:right="372"/>
                        <w:jc w:val="both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Style w:val="14"/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rStyle w:val="14"/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14"/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－</w:t>
                      </w:r>
                    </w:p>
                    <w:p w14:paraId="632D9CC6">
                      <w:pP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 w14:paraId="02FA3291"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城市精细化管理评价细则</w:t>
      </w:r>
    </w:p>
    <w:tbl>
      <w:tblPr>
        <w:tblStyle w:val="10"/>
        <w:tblW w:w="58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2550"/>
        <w:gridCol w:w="5335"/>
        <w:gridCol w:w="2985"/>
        <w:gridCol w:w="1055"/>
        <w:gridCol w:w="2724"/>
      </w:tblGrid>
      <w:tr w14:paraId="4AD03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4613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评价指标</w:t>
            </w:r>
          </w:p>
        </w:tc>
        <w:tc>
          <w:tcPr>
            <w:tcW w:w="1763" w:type="pct"/>
            <w:noWrap w:val="0"/>
            <w:vAlign w:val="center"/>
          </w:tcPr>
          <w:p w14:paraId="33152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评价内容</w:t>
            </w:r>
          </w:p>
        </w:tc>
        <w:tc>
          <w:tcPr>
            <w:tcW w:w="986" w:type="pct"/>
            <w:noWrap w:val="0"/>
            <w:vAlign w:val="center"/>
          </w:tcPr>
          <w:p w14:paraId="55FE8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评价标准</w:t>
            </w:r>
          </w:p>
        </w:tc>
        <w:tc>
          <w:tcPr>
            <w:tcW w:w="348" w:type="pct"/>
            <w:noWrap w:val="0"/>
            <w:vAlign w:val="center"/>
          </w:tcPr>
          <w:p w14:paraId="44895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占比（%）</w:t>
            </w:r>
          </w:p>
        </w:tc>
        <w:tc>
          <w:tcPr>
            <w:tcW w:w="900" w:type="pct"/>
            <w:noWrap w:val="0"/>
            <w:vAlign w:val="center"/>
          </w:tcPr>
          <w:p w14:paraId="448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评价部门</w:t>
            </w:r>
          </w:p>
        </w:tc>
      </w:tr>
      <w:tr w14:paraId="1194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2A67A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一、全域管理评价（52%）</w:t>
            </w:r>
          </w:p>
        </w:tc>
      </w:tr>
      <w:tr w14:paraId="28D0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restart"/>
            <w:noWrap w:val="0"/>
            <w:vAlign w:val="center"/>
          </w:tcPr>
          <w:p w14:paraId="48A5B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</w:t>
            </w:r>
          </w:p>
        </w:tc>
        <w:tc>
          <w:tcPr>
            <w:tcW w:w="842" w:type="pct"/>
            <w:noWrap w:val="0"/>
            <w:vAlign w:val="center"/>
          </w:tcPr>
          <w:p w14:paraId="15A59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城市道路维护管理达标率</w:t>
            </w:r>
          </w:p>
        </w:tc>
        <w:tc>
          <w:tcPr>
            <w:tcW w:w="1763" w:type="pct"/>
            <w:noWrap w:val="0"/>
            <w:vAlign w:val="center"/>
          </w:tcPr>
          <w:p w14:paraId="5FC90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城市道路及城市家具维护管理情况</w:t>
            </w:r>
          </w:p>
        </w:tc>
        <w:tc>
          <w:tcPr>
            <w:tcW w:w="986" w:type="pct"/>
            <w:noWrap w:val="0"/>
            <w:vAlign w:val="center"/>
          </w:tcPr>
          <w:p w14:paraId="1CD2C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08314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0" w:type="pct"/>
            <w:noWrap w:val="0"/>
            <w:vAlign w:val="center"/>
          </w:tcPr>
          <w:p w14:paraId="04527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496E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1CFAC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pct"/>
            <w:noWrap w:val="0"/>
            <w:vAlign w:val="center"/>
          </w:tcPr>
          <w:p w14:paraId="035C8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地面坍塌处置率</w:t>
            </w:r>
          </w:p>
        </w:tc>
        <w:tc>
          <w:tcPr>
            <w:tcW w:w="1763" w:type="pct"/>
            <w:noWrap w:val="0"/>
            <w:vAlign w:val="center"/>
          </w:tcPr>
          <w:p w14:paraId="4FAFA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道路空洞、管网渗漏及施工区域等风险处置情况</w:t>
            </w:r>
          </w:p>
        </w:tc>
        <w:tc>
          <w:tcPr>
            <w:tcW w:w="986" w:type="pct"/>
            <w:noWrap w:val="0"/>
            <w:vAlign w:val="center"/>
          </w:tcPr>
          <w:p w14:paraId="6794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4C80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noWrap w:val="0"/>
            <w:vAlign w:val="center"/>
          </w:tcPr>
          <w:p w14:paraId="6BACB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市自然资源和城建局</w:t>
            </w:r>
          </w:p>
        </w:tc>
      </w:tr>
      <w:tr w14:paraId="08E9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restart"/>
            <w:noWrap w:val="0"/>
            <w:vAlign w:val="center"/>
          </w:tcPr>
          <w:p w14:paraId="3AAF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明</w:t>
            </w:r>
          </w:p>
        </w:tc>
        <w:tc>
          <w:tcPr>
            <w:tcW w:w="842" w:type="pct"/>
            <w:noWrap w:val="0"/>
            <w:vAlign w:val="center"/>
          </w:tcPr>
          <w:p w14:paraId="72DDB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景观照明打造完成率</w:t>
            </w:r>
          </w:p>
        </w:tc>
        <w:tc>
          <w:tcPr>
            <w:tcW w:w="1763" w:type="pct"/>
            <w:noWrap w:val="0"/>
            <w:vAlign w:val="center"/>
          </w:tcPr>
          <w:p w14:paraId="237F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景观照明设施运行及微小景观亮化设施建设情况</w:t>
            </w:r>
          </w:p>
        </w:tc>
        <w:tc>
          <w:tcPr>
            <w:tcW w:w="986" w:type="pct"/>
            <w:noWrap w:val="0"/>
            <w:vAlign w:val="center"/>
          </w:tcPr>
          <w:p w14:paraId="4AB81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723E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429F3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2006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0022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3DDDA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路灯设施完好率</w:t>
            </w:r>
          </w:p>
        </w:tc>
        <w:tc>
          <w:tcPr>
            <w:tcW w:w="1763" w:type="pct"/>
            <w:noWrap w:val="0"/>
            <w:vAlign w:val="center"/>
          </w:tcPr>
          <w:p w14:paraId="0EFE0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功能性照明设施完好情况</w:t>
            </w:r>
          </w:p>
        </w:tc>
        <w:tc>
          <w:tcPr>
            <w:tcW w:w="986" w:type="pct"/>
            <w:noWrap w:val="0"/>
            <w:vAlign w:val="center"/>
          </w:tcPr>
          <w:p w14:paraId="5E66E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7F471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03FA7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市住房和城市更新局</w:t>
            </w:r>
          </w:p>
        </w:tc>
      </w:tr>
      <w:tr w14:paraId="1372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noWrap w:val="0"/>
            <w:vAlign w:val="center"/>
          </w:tcPr>
          <w:p w14:paraId="56CBD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绿</w:t>
            </w:r>
          </w:p>
        </w:tc>
        <w:tc>
          <w:tcPr>
            <w:tcW w:w="842" w:type="pct"/>
            <w:noWrap w:val="0"/>
            <w:vAlign w:val="center"/>
          </w:tcPr>
          <w:p w14:paraId="4E7C2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城市绿化养护管理达标率</w:t>
            </w:r>
          </w:p>
        </w:tc>
        <w:tc>
          <w:tcPr>
            <w:tcW w:w="1763" w:type="pct"/>
            <w:noWrap w:val="0"/>
            <w:vAlign w:val="center"/>
          </w:tcPr>
          <w:p w14:paraId="3CE60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城市绿化养护管理及“四线一口”2.0绿化品质提升情况</w:t>
            </w:r>
          </w:p>
        </w:tc>
        <w:tc>
          <w:tcPr>
            <w:tcW w:w="986" w:type="pct"/>
            <w:noWrap w:val="0"/>
            <w:vAlign w:val="center"/>
          </w:tcPr>
          <w:p w14:paraId="244A5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42269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00" w:type="pct"/>
            <w:noWrap w:val="0"/>
            <w:vAlign w:val="center"/>
          </w:tcPr>
          <w:p w14:paraId="02827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市园林和林业局</w:t>
            </w:r>
          </w:p>
        </w:tc>
      </w:tr>
      <w:tr w14:paraId="21EF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restart"/>
            <w:noWrap w:val="0"/>
            <w:vAlign w:val="center"/>
          </w:tcPr>
          <w:p w14:paraId="4DD52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美</w:t>
            </w:r>
          </w:p>
        </w:tc>
        <w:tc>
          <w:tcPr>
            <w:tcW w:w="842" w:type="pct"/>
            <w:noWrap w:val="0"/>
            <w:vAlign w:val="center"/>
          </w:tcPr>
          <w:p w14:paraId="126B5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物业服务质量优良率</w:t>
            </w:r>
          </w:p>
        </w:tc>
        <w:tc>
          <w:tcPr>
            <w:tcW w:w="1763" w:type="pct"/>
            <w:noWrap w:val="0"/>
            <w:vAlign w:val="center"/>
          </w:tcPr>
          <w:p w14:paraId="6B28C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物业服务质量情况（非涉农区5%，涉农区2%）</w:t>
            </w:r>
          </w:p>
        </w:tc>
        <w:tc>
          <w:tcPr>
            <w:tcW w:w="986" w:type="pct"/>
            <w:noWrap w:val="0"/>
            <w:vAlign w:val="center"/>
          </w:tcPr>
          <w:p w14:paraId="0E4B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5811C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5/2</w:t>
            </w:r>
          </w:p>
        </w:tc>
        <w:tc>
          <w:tcPr>
            <w:tcW w:w="900" w:type="pct"/>
            <w:noWrap w:val="0"/>
            <w:vAlign w:val="center"/>
          </w:tcPr>
          <w:p w14:paraId="5226B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市住房和城市更新局</w:t>
            </w:r>
          </w:p>
        </w:tc>
      </w:tr>
      <w:tr w14:paraId="366B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3218E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3CC4E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和美乡村建设完成率</w:t>
            </w:r>
          </w:p>
        </w:tc>
        <w:tc>
          <w:tcPr>
            <w:tcW w:w="1763" w:type="pct"/>
            <w:noWrap w:val="0"/>
            <w:vAlign w:val="center"/>
          </w:tcPr>
          <w:p w14:paraId="5112F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和美乡村及农村公厕建设完成情况（仅涉农区3%）</w:t>
            </w:r>
          </w:p>
        </w:tc>
        <w:tc>
          <w:tcPr>
            <w:tcW w:w="986" w:type="pct"/>
            <w:noWrap w:val="0"/>
            <w:vAlign w:val="center"/>
          </w:tcPr>
          <w:p w14:paraId="2C645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1A93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0" w:type="pct"/>
            <w:noWrap w:val="0"/>
            <w:vAlign w:val="center"/>
          </w:tcPr>
          <w:p w14:paraId="5DD4C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市农业农村局</w:t>
            </w:r>
          </w:p>
        </w:tc>
      </w:tr>
      <w:tr w14:paraId="4AFE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6EE9E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67449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“四好农村路”建设完成率</w:t>
            </w:r>
          </w:p>
        </w:tc>
        <w:tc>
          <w:tcPr>
            <w:tcW w:w="1763" w:type="pct"/>
            <w:noWrap w:val="0"/>
            <w:vAlign w:val="center"/>
          </w:tcPr>
          <w:p w14:paraId="7217F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农村公路提升行动完成情况（仅涉农区1%）</w:t>
            </w:r>
          </w:p>
        </w:tc>
        <w:tc>
          <w:tcPr>
            <w:tcW w:w="986" w:type="pct"/>
            <w:noWrap w:val="0"/>
            <w:vAlign w:val="center"/>
          </w:tcPr>
          <w:p w14:paraId="2FCAD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77334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194BA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市交通运输局</w:t>
            </w:r>
          </w:p>
        </w:tc>
      </w:tr>
      <w:tr w14:paraId="617BA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08EE7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1E8DB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劣V类水体整治及</w:t>
            </w:r>
          </w:p>
          <w:p w14:paraId="455B2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农村生活污水完成率</w:t>
            </w:r>
          </w:p>
        </w:tc>
        <w:tc>
          <w:tcPr>
            <w:tcW w:w="1763" w:type="pct"/>
            <w:noWrap w:val="0"/>
            <w:vAlign w:val="center"/>
          </w:tcPr>
          <w:p w14:paraId="784D5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劣V类水体治理及农村生活污水治理完成情况（仅涉农区1%）</w:t>
            </w:r>
          </w:p>
        </w:tc>
        <w:tc>
          <w:tcPr>
            <w:tcW w:w="986" w:type="pct"/>
            <w:noWrap w:val="0"/>
            <w:vAlign w:val="center"/>
          </w:tcPr>
          <w:p w14:paraId="06B85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227F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5A775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市生态环境局</w:t>
            </w:r>
          </w:p>
        </w:tc>
      </w:tr>
      <w:tr w14:paraId="4D82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07050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7AD31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河湖环境品质良好率</w:t>
            </w:r>
          </w:p>
        </w:tc>
        <w:tc>
          <w:tcPr>
            <w:tcW w:w="1763" w:type="pct"/>
            <w:noWrap w:val="0"/>
            <w:vAlign w:val="center"/>
          </w:tcPr>
          <w:p w14:paraId="153E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河湖水面岸线环境管护情况</w:t>
            </w:r>
          </w:p>
        </w:tc>
        <w:tc>
          <w:tcPr>
            <w:tcW w:w="986" w:type="pct"/>
            <w:noWrap w:val="0"/>
            <w:vAlign w:val="center"/>
          </w:tcPr>
          <w:p w14:paraId="16F43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4730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noWrap w:val="0"/>
            <w:vAlign w:val="center"/>
          </w:tcPr>
          <w:p w14:paraId="3296A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市水务局</w:t>
            </w:r>
          </w:p>
        </w:tc>
      </w:tr>
      <w:tr w14:paraId="6C57A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restart"/>
            <w:noWrap w:val="0"/>
            <w:vAlign w:val="center"/>
          </w:tcPr>
          <w:p w14:paraId="6F3BE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净</w:t>
            </w:r>
          </w:p>
        </w:tc>
        <w:tc>
          <w:tcPr>
            <w:tcW w:w="842" w:type="pct"/>
            <w:noWrap w:val="0"/>
            <w:vAlign w:val="center"/>
          </w:tcPr>
          <w:p w14:paraId="09166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环境卫生洁净率及</w:t>
            </w:r>
          </w:p>
          <w:p w14:paraId="0DB67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垃圾分类优良率</w:t>
            </w:r>
          </w:p>
        </w:tc>
        <w:tc>
          <w:tcPr>
            <w:tcW w:w="1763" w:type="pct"/>
            <w:noWrap w:val="0"/>
            <w:vAlign w:val="center"/>
          </w:tcPr>
          <w:p w14:paraId="5EE9D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城市道路、公厕洁净及生活垃圾分类提质情况</w:t>
            </w:r>
          </w:p>
        </w:tc>
        <w:tc>
          <w:tcPr>
            <w:tcW w:w="986" w:type="pct"/>
            <w:noWrap w:val="0"/>
            <w:vAlign w:val="center"/>
          </w:tcPr>
          <w:p w14:paraId="1C968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3F7C1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00" w:type="pct"/>
            <w:noWrap w:val="0"/>
            <w:vAlign w:val="center"/>
          </w:tcPr>
          <w:p w14:paraId="1FDDC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63DC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2985D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5F836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建筑垃圾全链条监管问题整改率</w:t>
            </w:r>
          </w:p>
        </w:tc>
        <w:tc>
          <w:tcPr>
            <w:tcW w:w="1763" w:type="pct"/>
            <w:noWrap w:val="0"/>
            <w:vAlign w:val="center"/>
          </w:tcPr>
          <w:p w14:paraId="50ADC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建筑垃圾电子三联单管理及资源化设施建设利用情况</w:t>
            </w:r>
          </w:p>
        </w:tc>
        <w:tc>
          <w:tcPr>
            <w:tcW w:w="986" w:type="pct"/>
            <w:noWrap w:val="0"/>
            <w:vAlign w:val="center"/>
          </w:tcPr>
          <w:p w14:paraId="1AA29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7CF63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0" w:type="pct"/>
            <w:noWrap w:val="0"/>
            <w:vAlign w:val="center"/>
          </w:tcPr>
          <w:p w14:paraId="1C969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59E3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62EC2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2C257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扬尘治理达标率</w:t>
            </w:r>
          </w:p>
        </w:tc>
        <w:tc>
          <w:tcPr>
            <w:tcW w:w="1763" w:type="pct"/>
            <w:noWrap w:val="0"/>
            <w:vAlign w:val="center"/>
          </w:tcPr>
          <w:p w14:paraId="5DDF2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道路及建设工地扬尘防治情况</w:t>
            </w:r>
          </w:p>
        </w:tc>
        <w:tc>
          <w:tcPr>
            <w:tcW w:w="986" w:type="pct"/>
            <w:noWrap w:val="0"/>
            <w:vAlign w:val="center"/>
          </w:tcPr>
          <w:p w14:paraId="05A8E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3BC6F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06DDF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市生态环境局</w:t>
            </w:r>
          </w:p>
        </w:tc>
      </w:tr>
      <w:tr w14:paraId="18A5B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restart"/>
            <w:noWrap w:val="0"/>
            <w:vAlign w:val="center"/>
          </w:tcPr>
          <w:p w14:paraId="57EEF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齐</w:t>
            </w:r>
          </w:p>
        </w:tc>
        <w:tc>
          <w:tcPr>
            <w:tcW w:w="842" w:type="pct"/>
            <w:noWrap w:val="0"/>
            <w:vAlign w:val="center"/>
          </w:tcPr>
          <w:p w14:paraId="730BC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依法处置违建目标完成率</w:t>
            </w:r>
          </w:p>
        </w:tc>
        <w:tc>
          <w:tcPr>
            <w:tcW w:w="1763" w:type="pct"/>
            <w:noWrap w:val="0"/>
            <w:vAlign w:val="center"/>
          </w:tcPr>
          <w:p w14:paraId="76BEB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存量违建处置及新增违建管控情况</w:t>
            </w:r>
          </w:p>
        </w:tc>
        <w:tc>
          <w:tcPr>
            <w:tcW w:w="986" w:type="pct"/>
            <w:noWrap w:val="0"/>
            <w:vAlign w:val="center"/>
          </w:tcPr>
          <w:p w14:paraId="15080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524BC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noWrap w:val="0"/>
            <w:vAlign w:val="center"/>
          </w:tcPr>
          <w:p w14:paraId="00A2B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547E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7352B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0AAB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城市桥隧维护管理达标率</w:t>
            </w:r>
          </w:p>
        </w:tc>
        <w:tc>
          <w:tcPr>
            <w:tcW w:w="1763" w:type="pct"/>
            <w:noWrap w:val="0"/>
            <w:vAlign w:val="center"/>
          </w:tcPr>
          <w:p w14:paraId="62712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城市桥隧及附属设施维护情况，桥下空间治理情况</w:t>
            </w:r>
          </w:p>
          <w:p w14:paraId="68615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（非涉农区3%，涉农区2%）</w:t>
            </w:r>
          </w:p>
        </w:tc>
        <w:tc>
          <w:tcPr>
            <w:tcW w:w="986" w:type="pct"/>
            <w:noWrap w:val="0"/>
            <w:vAlign w:val="center"/>
          </w:tcPr>
          <w:p w14:paraId="07971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D1C7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3/2</w:t>
            </w:r>
          </w:p>
        </w:tc>
        <w:tc>
          <w:tcPr>
            <w:tcW w:w="900" w:type="pct"/>
            <w:noWrap w:val="0"/>
            <w:vAlign w:val="center"/>
          </w:tcPr>
          <w:p w14:paraId="05805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6F450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77743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10DE2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工地围挡设置达标率</w:t>
            </w:r>
          </w:p>
        </w:tc>
        <w:tc>
          <w:tcPr>
            <w:tcW w:w="1763" w:type="pct"/>
            <w:noWrap w:val="0"/>
            <w:vAlign w:val="center"/>
          </w:tcPr>
          <w:p w14:paraId="4CF0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工地围挡规范设置情况</w:t>
            </w:r>
          </w:p>
          <w:p w14:paraId="0F60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（非涉农区2%，涉农区1%）</w:t>
            </w:r>
          </w:p>
        </w:tc>
        <w:tc>
          <w:tcPr>
            <w:tcW w:w="986" w:type="pct"/>
            <w:noWrap w:val="0"/>
            <w:vAlign w:val="center"/>
          </w:tcPr>
          <w:p w14:paraId="35FB2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19C6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2/1</w:t>
            </w:r>
          </w:p>
        </w:tc>
        <w:tc>
          <w:tcPr>
            <w:tcW w:w="900" w:type="pct"/>
            <w:noWrap w:val="0"/>
            <w:vAlign w:val="center"/>
          </w:tcPr>
          <w:p w14:paraId="7C7D8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市住房和城市更新局</w:t>
            </w:r>
          </w:p>
        </w:tc>
      </w:tr>
      <w:tr w14:paraId="456D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2CF2C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15D9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广告设置合规率</w:t>
            </w:r>
          </w:p>
        </w:tc>
        <w:tc>
          <w:tcPr>
            <w:tcW w:w="1763" w:type="pct"/>
            <w:noWrap w:val="0"/>
            <w:vAlign w:val="center"/>
          </w:tcPr>
          <w:p w14:paraId="01881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户外广告全流程监管情况</w:t>
            </w:r>
          </w:p>
        </w:tc>
        <w:tc>
          <w:tcPr>
            <w:tcW w:w="986" w:type="pct"/>
            <w:noWrap w:val="0"/>
            <w:vAlign w:val="center"/>
          </w:tcPr>
          <w:p w14:paraId="15B5D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3445C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6DA0F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544BA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restart"/>
            <w:noWrap w:val="0"/>
            <w:vAlign w:val="center"/>
          </w:tcPr>
          <w:p w14:paraId="12AB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畅</w:t>
            </w:r>
          </w:p>
        </w:tc>
        <w:tc>
          <w:tcPr>
            <w:tcW w:w="842" w:type="pct"/>
            <w:noWrap w:val="0"/>
            <w:vAlign w:val="center"/>
          </w:tcPr>
          <w:p w14:paraId="19B2C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交通秩序管理达标率</w:t>
            </w:r>
          </w:p>
        </w:tc>
        <w:tc>
          <w:tcPr>
            <w:tcW w:w="1763" w:type="pct"/>
            <w:noWrap w:val="0"/>
            <w:vAlign w:val="center"/>
          </w:tcPr>
          <w:p w14:paraId="4022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交通拥堵治理、交通乱象整治情况</w:t>
            </w:r>
          </w:p>
        </w:tc>
        <w:tc>
          <w:tcPr>
            <w:tcW w:w="986" w:type="pct"/>
            <w:noWrap w:val="0"/>
            <w:vAlign w:val="center"/>
          </w:tcPr>
          <w:p w14:paraId="62E12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50B1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00" w:type="pct"/>
            <w:noWrap w:val="0"/>
            <w:vAlign w:val="center"/>
          </w:tcPr>
          <w:p w14:paraId="6FE76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市公安交管局</w:t>
            </w:r>
          </w:p>
        </w:tc>
      </w:tr>
      <w:tr w14:paraId="22D6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1F27E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04AF2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市容秩序管理达标率</w:t>
            </w:r>
          </w:p>
        </w:tc>
        <w:tc>
          <w:tcPr>
            <w:tcW w:w="1763" w:type="pct"/>
            <w:noWrap w:val="0"/>
            <w:vAlign w:val="center"/>
          </w:tcPr>
          <w:p w14:paraId="0C56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共享单车停放秩序及规范外摆点位、占道经营管控情况</w:t>
            </w:r>
          </w:p>
        </w:tc>
        <w:tc>
          <w:tcPr>
            <w:tcW w:w="986" w:type="pct"/>
            <w:noWrap w:val="0"/>
            <w:vAlign w:val="center"/>
          </w:tcPr>
          <w:p w14:paraId="5F3E0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72D27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noWrap w:val="0"/>
            <w:vAlign w:val="center"/>
          </w:tcPr>
          <w:p w14:paraId="234D4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5DE9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0BB04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051C7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微循环道路、非机动车道及停车泊位建设完成率</w:t>
            </w:r>
          </w:p>
        </w:tc>
        <w:tc>
          <w:tcPr>
            <w:tcW w:w="1763" w:type="pct"/>
            <w:noWrap w:val="0"/>
            <w:vAlign w:val="center"/>
          </w:tcPr>
          <w:p w14:paraId="03F60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微循环道路建设、非机动车道建设改造及</w:t>
            </w:r>
          </w:p>
          <w:p w14:paraId="73CC9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停车泊位建设情况</w:t>
            </w:r>
          </w:p>
        </w:tc>
        <w:tc>
          <w:tcPr>
            <w:tcW w:w="986" w:type="pct"/>
            <w:noWrap w:val="0"/>
            <w:vAlign w:val="center"/>
          </w:tcPr>
          <w:p w14:paraId="6EF86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61895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7A7E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市住房和城市更新局</w:t>
            </w:r>
          </w:p>
        </w:tc>
      </w:tr>
      <w:tr w14:paraId="5B08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restart"/>
            <w:noWrap w:val="0"/>
            <w:vAlign w:val="center"/>
          </w:tcPr>
          <w:p w14:paraId="1EA91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</w:t>
            </w:r>
          </w:p>
        </w:tc>
        <w:tc>
          <w:tcPr>
            <w:tcW w:w="842" w:type="pct"/>
            <w:noWrap w:val="0"/>
            <w:vAlign w:val="center"/>
          </w:tcPr>
          <w:p w14:paraId="31D64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噪声油烟执法处置率</w:t>
            </w:r>
          </w:p>
        </w:tc>
        <w:tc>
          <w:tcPr>
            <w:tcW w:w="1763" w:type="pct"/>
            <w:noWrap w:val="0"/>
            <w:vAlign w:val="center"/>
          </w:tcPr>
          <w:p w14:paraId="77C1D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夜间施工噪声、油烟执法处置情况</w:t>
            </w:r>
          </w:p>
        </w:tc>
        <w:tc>
          <w:tcPr>
            <w:tcW w:w="986" w:type="pct"/>
            <w:noWrap w:val="0"/>
            <w:vAlign w:val="center"/>
          </w:tcPr>
          <w:p w14:paraId="2B7F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405D0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028A5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5B68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0B7F0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20C3B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宁静小区建设完成率</w:t>
            </w:r>
          </w:p>
        </w:tc>
        <w:tc>
          <w:tcPr>
            <w:tcW w:w="1763" w:type="pct"/>
            <w:noWrap w:val="0"/>
            <w:vAlign w:val="center"/>
          </w:tcPr>
          <w:p w14:paraId="0DB09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宁静小区建设完成情况</w:t>
            </w:r>
          </w:p>
        </w:tc>
        <w:tc>
          <w:tcPr>
            <w:tcW w:w="986" w:type="pct"/>
            <w:noWrap w:val="0"/>
            <w:vAlign w:val="center"/>
          </w:tcPr>
          <w:p w14:paraId="35BC0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5B04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3C794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市生态环境局</w:t>
            </w:r>
          </w:p>
        </w:tc>
      </w:tr>
      <w:tr w14:paraId="5A3A0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70985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1E763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重大事故隐患整治率</w:t>
            </w:r>
          </w:p>
        </w:tc>
        <w:tc>
          <w:tcPr>
            <w:tcW w:w="1763" w:type="pct"/>
            <w:noWrap w:val="0"/>
            <w:vAlign w:val="center"/>
          </w:tcPr>
          <w:p w14:paraId="597CE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重大事故隐患排查整治情况</w:t>
            </w:r>
          </w:p>
        </w:tc>
        <w:tc>
          <w:tcPr>
            <w:tcW w:w="986" w:type="pct"/>
            <w:noWrap w:val="0"/>
            <w:vAlign w:val="center"/>
          </w:tcPr>
          <w:p w14:paraId="230F9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1C77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0" w:type="pct"/>
            <w:noWrap w:val="0"/>
            <w:vAlign w:val="center"/>
          </w:tcPr>
          <w:p w14:paraId="21EA4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市应急局</w:t>
            </w:r>
          </w:p>
        </w:tc>
      </w:tr>
      <w:tr w14:paraId="1BFE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" w:type="pct"/>
            <w:vMerge w:val="continue"/>
            <w:noWrap w:val="0"/>
            <w:vAlign w:val="center"/>
          </w:tcPr>
          <w:p w14:paraId="71CB1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2" w:type="pct"/>
            <w:noWrap w:val="0"/>
            <w:vAlign w:val="center"/>
          </w:tcPr>
          <w:p w14:paraId="203FC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燃气管理达标率</w:t>
            </w:r>
          </w:p>
        </w:tc>
        <w:tc>
          <w:tcPr>
            <w:tcW w:w="1763" w:type="pct"/>
            <w:noWrap w:val="0"/>
            <w:vAlign w:val="center"/>
          </w:tcPr>
          <w:p w14:paraId="442DD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燃气安全隐患排查整改、项目建设维护及提质增效专项工作情况</w:t>
            </w:r>
          </w:p>
        </w:tc>
        <w:tc>
          <w:tcPr>
            <w:tcW w:w="986" w:type="pct"/>
            <w:noWrap w:val="0"/>
            <w:vAlign w:val="center"/>
          </w:tcPr>
          <w:p w14:paraId="24A9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692C9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0" w:type="pct"/>
            <w:noWrap w:val="0"/>
            <w:vAlign w:val="center"/>
          </w:tcPr>
          <w:p w14:paraId="0BC8F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市城管执法委</w:t>
            </w:r>
          </w:p>
        </w:tc>
      </w:tr>
      <w:tr w14:paraId="7AB0B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2B115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二、样本质效评价（28%）</w:t>
            </w:r>
          </w:p>
        </w:tc>
      </w:tr>
      <w:tr w14:paraId="37F2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3D0D1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增值评价</w:t>
            </w:r>
          </w:p>
        </w:tc>
        <w:tc>
          <w:tcPr>
            <w:tcW w:w="1763" w:type="pct"/>
            <w:noWrap w:val="0"/>
            <w:vAlign w:val="center"/>
          </w:tcPr>
          <w:p w14:paraId="56D3A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各区自报主动创新、自我加压阶段性工作进步明显、改进质效、长效管理等情况</w:t>
            </w:r>
          </w:p>
        </w:tc>
        <w:tc>
          <w:tcPr>
            <w:tcW w:w="986" w:type="pct"/>
            <w:noWrap w:val="0"/>
            <w:vAlign w:val="center"/>
          </w:tcPr>
          <w:p w14:paraId="0B593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7A7F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00" w:type="pct"/>
            <w:vMerge w:val="restart"/>
            <w:noWrap w:val="0"/>
            <w:vAlign w:val="center"/>
          </w:tcPr>
          <w:p w14:paraId="7726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市城市精细化管理工作专班</w:t>
            </w:r>
          </w:p>
        </w:tc>
      </w:tr>
      <w:tr w14:paraId="55D6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1CB84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亮点评价</w:t>
            </w:r>
          </w:p>
        </w:tc>
        <w:tc>
          <w:tcPr>
            <w:tcW w:w="1763" w:type="pct"/>
            <w:noWrap w:val="0"/>
            <w:vAlign w:val="center"/>
          </w:tcPr>
          <w:p w14:paraId="522C6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市区共同确定精细化样本点位管理情况，包括亮点片区（商业商圈、景区景点等）、窗口地带（机场、火车站等）、重点路段等</w:t>
            </w:r>
          </w:p>
        </w:tc>
        <w:tc>
          <w:tcPr>
            <w:tcW w:w="986" w:type="pct"/>
            <w:noWrap w:val="0"/>
            <w:vAlign w:val="center"/>
          </w:tcPr>
          <w:p w14:paraId="5230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F4F9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00" w:type="pct"/>
            <w:vMerge w:val="continue"/>
            <w:noWrap w:val="0"/>
            <w:vAlign w:val="center"/>
          </w:tcPr>
          <w:p w14:paraId="084A7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F416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3F79A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重点工作评价</w:t>
            </w:r>
          </w:p>
        </w:tc>
        <w:tc>
          <w:tcPr>
            <w:tcW w:w="1763" w:type="pct"/>
            <w:noWrap w:val="0"/>
            <w:vAlign w:val="center"/>
          </w:tcPr>
          <w:p w14:paraId="6259B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“四线一口”2.0、城市管理进社区、环卫攻坚、广告招牌、架空管线、违建攻坚、园林绿化等阶段性重点工作推进情况</w:t>
            </w:r>
          </w:p>
        </w:tc>
        <w:tc>
          <w:tcPr>
            <w:tcW w:w="986" w:type="pct"/>
            <w:noWrap w:val="0"/>
            <w:vAlign w:val="center"/>
          </w:tcPr>
          <w:p w14:paraId="102DE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0DF86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00" w:type="pct"/>
            <w:vMerge w:val="continue"/>
            <w:noWrap w:val="0"/>
            <w:vAlign w:val="center"/>
          </w:tcPr>
          <w:p w14:paraId="159EC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</w:tr>
      <w:tr w14:paraId="75A6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23E63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三、多维感知评价（20%）</w:t>
            </w:r>
          </w:p>
        </w:tc>
      </w:tr>
      <w:tr w14:paraId="4B432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018F2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群众感知</w:t>
            </w:r>
          </w:p>
        </w:tc>
        <w:tc>
          <w:tcPr>
            <w:tcW w:w="1763" w:type="pct"/>
            <w:noWrap w:val="0"/>
            <w:vAlign w:val="center"/>
          </w:tcPr>
          <w:p w14:paraId="0F238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城市管理类群众投诉处置、建议办理及满意率情况</w:t>
            </w:r>
          </w:p>
        </w:tc>
        <w:tc>
          <w:tcPr>
            <w:tcW w:w="986" w:type="pct"/>
            <w:noWrap w:val="0"/>
            <w:vAlign w:val="center"/>
          </w:tcPr>
          <w:p w14:paraId="05A6F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0B5E7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00" w:type="pct"/>
            <w:vMerge w:val="restart"/>
            <w:noWrap w:val="0"/>
            <w:vAlign w:val="center"/>
          </w:tcPr>
          <w:p w14:paraId="1F18D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市城市精细化管理工作专班</w:t>
            </w:r>
          </w:p>
        </w:tc>
      </w:tr>
      <w:tr w14:paraId="5788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75BC3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群众参与</w:t>
            </w:r>
          </w:p>
        </w:tc>
        <w:tc>
          <w:tcPr>
            <w:tcW w:w="1763" w:type="pct"/>
            <w:noWrap w:val="0"/>
            <w:vAlign w:val="center"/>
          </w:tcPr>
          <w:p w14:paraId="43D73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发动市民群众积极主动参与各项工作情况</w:t>
            </w:r>
          </w:p>
        </w:tc>
        <w:tc>
          <w:tcPr>
            <w:tcW w:w="986" w:type="pct"/>
            <w:noWrap w:val="0"/>
            <w:vAlign w:val="center"/>
          </w:tcPr>
          <w:p w14:paraId="00FD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26396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00" w:type="pct"/>
            <w:vMerge w:val="continue"/>
            <w:noWrap w:val="0"/>
            <w:vAlign w:val="center"/>
          </w:tcPr>
          <w:p w14:paraId="46C35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7C78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1E425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交办问题</w:t>
            </w:r>
          </w:p>
        </w:tc>
        <w:tc>
          <w:tcPr>
            <w:tcW w:w="1763" w:type="pct"/>
            <w:noWrap w:val="0"/>
            <w:vAlign w:val="center"/>
          </w:tcPr>
          <w:p w14:paraId="05715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智能感知、上级交办、暗访检查问题处置情况</w:t>
            </w:r>
          </w:p>
        </w:tc>
        <w:tc>
          <w:tcPr>
            <w:tcW w:w="986" w:type="pct"/>
            <w:noWrap w:val="0"/>
            <w:vAlign w:val="center"/>
          </w:tcPr>
          <w:p w14:paraId="38C53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08744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00" w:type="pct"/>
            <w:vMerge w:val="continue"/>
            <w:noWrap w:val="0"/>
            <w:vAlign w:val="center"/>
          </w:tcPr>
          <w:p w14:paraId="6146D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4B74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1" w:type="pct"/>
            <w:gridSpan w:val="2"/>
            <w:noWrap w:val="0"/>
            <w:vAlign w:val="center"/>
          </w:tcPr>
          <w:p w14:paraId="1B900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宣传舆情</w:t>
            </w:r>
          </w:p>
        </w:tc>
        <w:tc>
          <w:tcPr>
            <w:tcW w:w="1763" w:type="pct"/>
            <w:noWrap w:val="0"/>
            <w:vAlign w:val="center"/>
          </w:tcPr>
          <w:p w14:paraId="73DA6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城市管理宣传引导和舆情应对处置</w:t>
            </w:r>
          </w:p>
        </w:tc>
        <w:tc>
          <w:tcPr>
            <w:tcW w:w="986" w:type="pct"/>
            <w:noWrap w:val="0"/>
            <w:vAlign w:val="center"/>
          </w:tcPr>
          <w:p w14:paraId="1B63C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48" w:type="pct"/>
            <w:noWrap w:val="0"/>
            <w:vAlign w:val="center"/>
          </w:tcPr>
          <w:p w14:paraId="0C918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00" w:type="pct"/>
            <w:vMerge w:val="continue"/>
            <w:noWrap w:val="0"/>
            <w:vAlign w:val="center"/>
          </w:tcPr>
          <w:p w14:paraId="13FB2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699AACE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960" w:hanging="960" w:hangingChars="4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备注</w:t>
      </w:r>
      <w:r>
        <w:rPr>
          <w:rFonts w:hint="eastAsia" w:ascii="仿宋_GB2312" w:hAnsi="仿宋_GB2312" w:cs="仿宋_GB2312"/>
          <w:sz w:val="24"/>
          <w:szCs w:val="24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cs="仿宋_GB2312"/>
          <w:sz w:val="24"/>
          <w:szCs w:val="24"/>
          <w:lang w:val="en-US" w:eastAsia="zh-CN"/>
        </w:rPr>
        <w:t>全域管理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评价内容按照《武汉市城市精细化管理行动方案（2026—2028年）》，各评价部门不得扩大评价内容，不搞指标嵌套，不搭车设置评价内容，不另制定评价细则，原则上采取扣分制。</w:t>
      </w:r>
    </w:p>
    <w:p w14:paraId="6E7A403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40" w:leftChars="225" w:hanging="320" w:hangingChars="1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-953770</wp:posOffset>
                </wp:positionH>
                <wp:positionV relativeFrom="paragraph">
                  <wp:posOffset>452120</wp:posOffset>
                </wp:positionV>
                <wp:extent cx="474980" cy="1374775"/>
                <wp:effectExtent l="4445" t="4445" r="6350" b="11430"/>
                <wp:wrapNone/>
                <wp:docPr id="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137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FD6AB8B">
                            <w:pPr>
                              <w:pStyle w:val="8"/>
                              <w:tabs>
                                <w:tab w:val="left" w:pos="8708"/>
                                <w:tab w:val="clear" w:pos="4153"/>
                                <w:tab w:val="clear" w:pos="8306"/>
                              </w:tabs>
                              <w:ind w:left="350" w:right="372"/>
                              <w:jc w:val="both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14"/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rStyle w:val="14"/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14"/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－</w:t>
                            </w:r>
                          </w:p>
                          <w:p w14:paraId="34A9D7F2">
                            <w:p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-75.1pt;margin-top:35.6pt;height:108.25pt;width:37.4pt;z-index:251660288;mso-width-relative:page;mso-height-relative:page;" fillcolor="#FFFFFF" filled="t" stroked="t" coordsize="21600,21600" o:gfxdata="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FD2uLXAAAACwEAAA8AAAAAAAAAAQAg&#10;AAAAIgAAAGRycy9kb3ducmV2LnhtbFBLAQIUABQAAAAIAIdO4kB6LiXwDwIAAEUEAAAOAAAAAAAA&#10;AAEAIAAAACYBAABkcnMvZTJvRG9jLnhtbFBLBQYAAAAABgAGAFkBAACnBQAAAAA=&#10;">
                <v:fill on="t" focussize="0,0"/>
                <v:stroke color="#FFFFFF" joinstyle="miter"/>
                <v:imagedata o:title=""/>
                <o:lock v:ext="edit" aspectratio="f"/>
                <v:textbox style="layout-flow:vertical-ideographic;">
                  <w:txbxContent>
                    <w:p w14:paraId="1FD6AB8B">
                      <w:pPr>
                        <w:pStyle w:val="8"/>
                        <w:tabs>
                          <w:tab w:val="left" w:pos="8708"/>
                          <w:tab w:val="clear" w:pos="4153"/>
                          <w:tab w:val="clear" w:pos="8306"/>
                        </w:tabs>
                        <w:ind w:left="350" w:right="372"/>
                        <w:jc w:val="both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Style w:val="14"/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rStyle w:val="14"/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14"/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－</w:t>
                      </w:r>
                    </w:p>
                    <w:p w14:paraId="34A9D7F2">
                      <w:pP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2.评价方式应采取现场查、云上算、群众评，借助大数据、人工智能的手段，不得增加基层负担。</w:t>
      </w:r>
    </w:p>
    <w:p w14:paraId="5B7D2F21">
      <w:pPr>
        <w:pStyle w:val="2"/>
        <w:ind w:left="0" w:leftChars="0" w:firstLine="0" w:firstLineChars="0"/>
        <w:rPr>
          <w:rFonts w:hint="eastAsia"/>
          <w:lang w:val="en-US" w:eastAsia="zh-CN"/>
        </w:rPr>
        <w:sectPr>
          <w:footerReference r:id="rId4" w:type="default"/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42" w:charSpace="0"/>
        </w:sectPr>
      </w:pPr>
    </w:p>
    <w:p w14:paraId="4656A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 w:start="8"/>
      <w:cols w:space="72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BBAC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1B4D799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B4D799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2BC42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7C740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B04C1B"/>
    <w:multiLevelType w:val="singleLevel"/>
    <w:tmpl w:val="51B04C1B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221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41.243.6:8080/seeyon/officeservlet"/>
  </w:docVars>
  <w:rsids>
    <w:rsidRoot w:val="00000000"/>
    <w:rsid w:val="03E8273F"/>
    <w:rsid w:val="04B662FB"/>
    <w:rsid w:val="07085777"/>
    <w:rsid w:val="1013252E"/>
    <w:rsid w:val="111604D8"/>
    <w:rsid w:val="121B3DCF"/>
    <w:rsid w:val="134769F0"/>
    <w:rsid w:val="140F6654"/>
    <w:rsid w:val="17813631"/>
    <w:rsid w:val="18112A36"/>
    <w:rsid w:val="1A940906"/>
    <w:rsid w:val="20FA2C6F"/>
    <w:rsid w:val="2505207D"/>
    <w:rsid w:val="28696E21"/>
    <w:rsid w:val="29FC4199"/>
    <w:rsid w:val="2A136010"/>
    <w:rsid w:val="2BC8029E"/>
    <w:rsid w:val="2C173C86"/>
    <w:rsid w:val="2C4D42A4"/>
    <w:rsid w:val="2DA5373F"/>
    <w:rsid w:val="2F454BE4"/>
    <w:rsid w:val="319A0F9C"/>
    <w:rsid w:val="32C03445"/>
    <w:rsid w:val="35A1455C"/>
    <w:rsid w:val="36391515"/>
    <w:rsid w:val="39425786"/>
    <w:rsid w:val="3D4F50E8"/>
    <w:rsid w:val="3DCF2C9E"/>
    <w:rsid w:val="3F19018A"/>
    <w:rsid w:val="410C6610"/>
    <w:rsid w:val="41AD423A"/>
    <w:rsid w:val="45E854C9"/>
    <w:rsid w:val="4F411380"/>
    <w:rsid w:val="572F4A2D"/>
    <w:rsid w:val="59AA31A8"/>
    <w:rsid w:val="61277BD0"/>
    <w:rsid w:val="62F437E2"/>
    <w:rsid w:val="6882012C"/>
    <w:rsid w:val="6A7152BE"/>
    <w:rsid w:val="6C471482"/>
    <w:rsid w:val="6FB815E4"/>
    <w:rsid w:val="70321EF2"/>
    <w:rsid w:val="734804FC"/>
    <w:rsid w:val="7A337AD0"/>
    <w:rsid w:val="7DC707A0"/>
    <w:rsid w:val="E967A7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adjustRightInd w:val="0"/>
      <w:jc w:val="distribute"/>
      <w:outlineLvl w:val="0"/>
    </w:pPr>
    <w:rPr>
      <w:rFonts w:eastAsia="公文小标宋简"/>
      <w:b/>
      <w:vanish/>
      <w:color w:val="FF0000"/>
      <w:kern w:val="44"/>
      <w:sz w:val="4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  <w:rPr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630"/>
    </w:pPr>
    <w:rPr>
      <w:kern w:val="0"/>
    </w:rPr>
  </w:style>
  <w:style w:type="paragraph" w:styleId="6">
    <w:name w:val="annotation text"/>
    <w:basedOn w:val="1"/>
    <w:semiHidden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qFormat/>
    <w:uiPriority w:val="0"/>
    <w:rPr>
      <w:rFonts w:eastAsia="宋体"/>
      <w:sz w:val="28"/>
    </w:rPr>
  </w:style>
  <w:style w:type="character" w:customStyle="1" w:styleId="15">
    <w:name w:val="font41"/>
    <w:basedOn w:val="1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6">
    <w:name w:val="font31"/>
    <w:basedOn w:val="1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customStyle="1" w:styleId="17">
    <w:name w:val="明显引用1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Calibri" w:hAnsi="Calibri" w:eastAsia="宋体" w:cs="Times New Roman"/>
      <w:i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2729</Words>
  <Characters>2804</Characters>
  <Lines>0</Lines>
  <Paragraphs>0</Paragraphs>
  <TotalTime>12</TotalTime>
  <ScaleCrop>false</ScaleCrop>
  <LinksUpToDate>false</LinksUpToDate>
  <CharactersWithSpaces>2804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xiongf</dc:creator>
  <cp:lastModifiedBy>汪婷</cp:lastModifiedBy>
  <cp:lastPrinted>2026-02-24T01:56:00Z</cp:lastPrinted>
  <dcterms:modified xsi:type="dcterms:W3CDTF">2026-03-26T09:19:31Z</dcterms:modified>
  <dc:title>武汉市城市管理执法委员会文件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eyJoZGlkIjoiMWM4MmVkOTA1MjFjYzMwZWNmZGFhODliZDBjZWU4YWMiLCJ1c2VySWQiOiI2NzcxNjc5NTcifQ==</vt:lpwstr>
  </property>
  <property fmtid="{D5CDD505-2E9C-101B-9397-08002B2CF9AE}" pid="4" name="ICV">
    <vt:lpwstr>A0C7D33007B04B44AC0EC96756A779EE_13</vt:lpwstr>
  </property>
</Properties>
</file>