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ind w:left="312"/>
        <w:spacing w:before="438" w:line="219" w:lineRule="auto"/>
        <w:outlineLvl w:val="0"/>
        <w:rPr>
          <w:rFonts w:ascii="SimSun" w:hAnsi="SimSun" w:eastAsia="SimSun" w:cs="SimSun"/>
          <w:sz w:val="87"/>
          <w:szCs w:val="87"/>
        </w:rPr>
      </w:pPr>
      <w:r>
        <w:rPr>
          <w:rFonts w:ascii="SimSun" w:hAnsi="SimSun" w:eastAsia="SimSun" w:cs="SimSun"/>
          <w:sz w:val="87"/>
          <w:szCs w:val="87"/>
          <w:b/>
          <w:bCs/>
          <w:color w:val="FF0040"/>
          <w:spacing w:val="-50"/>
        </w:rPr>
        <w:t>武</w:t>
      </w:r>
      <w:r>
        <w:rPr>
          <w:rFonts w:ascii="SimSun" w:hAnsi="SimSun" w:eastAsia="SimSun" w:cs="SimSun"/>
          <w:sz w:val="87"/>
          <w:szCs w:val="87"/>
          <w:color w:val="FF0040"/>
          <w:spacing w:val="-99"/>
        </w:rPr>
        <w:t xml:space="preserve"> </w:t>
      </w:r>
      <w:r>
        <w:rPr>
          <w:rFonts w:ascii="SimSun" w:hAnsi="SimSun" w:eastAsia="SimSun" w:cs="SimSun"/>
          <w:sz w:val="87"/>
          <w:szCs w:val="87"/>
          <w:b/>
          <w:bCs/>
          <w:color w:val="FF0040"/>
          <w:spacing w:val="-50"/>
        </w:rPr>
        <w:t>汉</w:t>
      </w:r>
      <w:r>
        <w:rPr>
          <w:rFonts w:ascii="SimSun" w:hAnsi="SimSun" w:eastAsia="SimSun" w:cs="SimSun"/>
          <w:sz w:val="87"/>
          <w:szCs w:val="87"/>
          <w:color w:val="FF0040"/>
          <w:spacing w:val="-85"/>
        </w:rPr>
        <w:t xml:space="preserve"> </w:t>
      </w:r>
      <w:r>
        <w:rPr>
          <w:rFonts w:ascii="SimSun" w:hAnsi="SimSun" w:eastAsia="SimSun" w:cs="SimSun"/>
          <w:sz w:val="87"/>
          <w:szCs w:val="87"/>
          <w:b/>
          <w:bCs/>
          <w:color w:val="FF0040"/>
          <w:spacing w:val="-50"/>
        </w:rPr>
        <w:t>市</w:t>
      </w:r>
      <w:r>
        <w:rPr>
          <w:rFonts w:ascii="SimSun" w:hAnsi="SimSun" w:eastAsia="SimSun" w:cs="SimSun"/>
          <w:sz w:val="87"/>
          <w:szCs w:val="87"/>
          <w:color w:val="FF0040"/>
          <w:spacing w:val="-98"/>
        </w:rPr>
        <w:t xml:space="preserve"> </w:t>
      </w:r>
      <w:r>
        <w:rPr>
          <w:rFonts w:ascii="SimSun" w:hAnsi="SimSun" w:eastAsia="SimSun" w:cs="SimSun"/>
          <w:sz w:val="87"/>
          <w:szCs w:val="87"/>
          <w:b/>
          <w:bCs/>
          <w:color w:val="FF0040"/>
          <w:spacing w:val="-50"/>
        </w:rPr>
        <w:t>投</w:t>
      </w:r>
      <w:r>
        <w:rPr>
          <w:rFonts w:ascii="SimSun" w:hAnsi="SimSun" w:eastAsia="SimSun" w:cs="SimSun"/>
          <w:sz w:val="87"/>
          <w:szCs w:val="87"/>
          <w:color w:val="FF0040"/>
          <w:spacing w:val="-71"/>
        </w:rPr>
        <w:t xml:space="preserve"> </w:t>
      </w:r>
      <w:r>
        <w:rPr>
          <w:rFonts w:ascii="SimSun" w:hAnsi="SimSun" w:eastAsia="SimSun" w:cs="SimSun"/>
          <w:sz w:val="87"/>
          <w:szCs w:val="87"/>
          <w:b/>
          <w:bCs/>
          <w:color w:val="FF0040"/>
          <w:spacing w:val="-50"/>
        </w:rPr>
        <w:t>资</w:t>
      </w:r>
      <w:r>
        <w:rPr>
          <w:rFonts w:ascii="SimSun" w:hAnsi="SimSun" w:eastAsia="SimSun" w:cs="SimSun"/>
          <w:sz w:val="87"/>
          <w:szCs w:val="87"/>
          <w:color w:val="FF0040"/>
          <w:spacing w:val="-105"/>
        </w:rPr>
        <w:t xml:space="preserve"> </w:t>
      </w:r>
      <w:r>
        <w:rPr>
          <w:rFonts w:ascii="SimSun" w:hAnsi="SimSun" w:eastAsia="SimSun" w:cs="SimSun"/>
          <w:sz w:val="87"/>
          <w:szCs w:val="87"/>
          <w:b/>
          <w:bCs/>
          <w:color w:val="FF0040"/>
          <w:spacing w:val="-50"/>
        </w:rPr>
        <w:t>促</w:t>
      </w:r>
      <w:r>
        <w:rPr>
          <w:rFonts w:ascii="SimSun" w:hAnsi="SimSun" w:eastAsia="SimSun" w:cs="SimSun"/>
          <w:sz w:val="87"/>
          <w:szCs w:val="87"/>
          <w:color w:val="FF0040"/>
          <w:spacing w:val="-116"/>
        </w:rPr>
        <w:t xml:space="preserve"> </w:t>
      </w:r>
      <w:r>
        <w:rPr>
          <w:rFonts w:ascii="SimSun" w:hAnsi="SimSun" w:eastAsia="SimSun" w:cs="SimSun"/>
          <w:sz w:val="87"/>
          <w:szCs w:val="87"/>
          <w:b/>
          <w:bCs/>
          <w:color w:val="FF0040"/>
          <w:spacing w:val="-50"/>
        </w:rPr>
        <w:t>进</w:t>
      </w:r>
      <w:r>
        <w:rPr>
          <w:rFonts w:ascii="SimSun" w:hAnsi="SimSun" w:eastAsia="SimSun" w:cs="SimSun"/>
          <w:sz w:val="87"/>
          <w:szCs w:val="87"/>
          <w:color w:val="FF0040"/>
          <w:spacing w:val="-98"/>
        </w:rPr>
        <w:t xml:space="preserve"> </w:t>
      </w:r>
      <w:r>
        <w:rPr>
          <w:rFonts w:ascii="SimSun" w:hAnsi="SimSun" w:eastAsia="SimSun" w:cs="SimSun"/>
          <w:sz w:val="87"/>
          <w:szCs w:val="87"/>
          <w:b/>
          <w:bCs/>
          <w:color w:val="FF0040"/>
          <w:spacing w:val="-50"/>
        </w:rPr>
        <w:t>局</w:t>
      </w:r>
    </w:p>
    <w:p>
      <w:pPr>
        <w:spacing w:before="100" w:line="60" w:lineRule="exact"/>
        <w:rPr/>
      </w:pPr>
      <w:r>
        <w:rPr>
          <w:position w:val="-1"/>
        </w:rPr>
        <w:drawing>
          <wp:inline distT="0" distB="0" distL="0" distR="0">
            <wp:extent cx="6095979" cy="38130"/>
            <wp:effectExtent l="0" t="0" r="0" b="0"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5979" cy="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45" w:lineRule="auto"/>
        <w:rPr>
          <w:rFonts w:ascii="Arial"/>
          <w:sz w:val="21"/>
        </w:rPr>
      </w:pPr>
      <w:r/>
    </w:p>
    <w:p>
      <w:pPr>
        <w:ind w:left="4016" w:right="551" w:hanging="3290"/>
        <w:spacing w:before="156" w:line="230" w:lineRule="auto"/>
        <w:rPr>
          <w:rFonts w:ascii="SimSun" w:hAnsi="SimSun" w:eastAsia="SimSun" w:cs="SimSun"/>
          <w:sz w:val="48"/>
          <w:szCs w:val="48"/>
        </w:rPr>
      </w:pPr>
      <w:r>
        <w:rPr>
          <w:rFonts w:ascii="SimSun" w:hAnsi="SimSun" w:eastAsia="SimSun" w:cs="SimSun"/>
          <w:sz w:val="48"/>
          <w:szCs w:val="48"/>
          <w:b/>
          <w:bCs/>
          <w:spacing w:val="-45"/>
        </w:rPr>
        <w:t>关于贯彻落实招标投标领域有关政策措施的</w:t>
      </w:r>
      <w:r>
        <w:rPr>
          <w:rFonts w:ascii="SimSun" w:hAnsi="SimSun" w:eastAsia="SimSun" w:cs="SimSun"/>
          <w:sz w:val="48"/>
          <w:szCs w:val="48"/>
        </w:rPr>
        <w:t xml:space="preserve"> </w:t>
      </w:r>
      <w:r>
        <w:rPr>
          <w:rFonts w:ascii="SimSun" w:hAnsi="SimSun" w:eastAsia="SimSun" w:cs="SimSun"/>
          <w:sz w:val="48"/>
          <w:szCs w:val="48"/>
          <w:b/>
          <w:bCs/>
          <w:spacing w:val="-27"/>
        </w:rPr>
        <w:t>工作指引</w:t>
      </w:r>
    </w:p>
    <w:p>
      <w:pPr>
        <w:spacing w:line="409" w:lineRule="auto"/>
        <w:rPr>
          <w:rFonts w:ascii="Arial"/>
          <w:sz w:val="21"/>
        </w:rPr>
      </w:pPr>
      <w:r/>
    </w:p>
    <w:p>
      <w:pPr>
        <w:pStyle w:val="BodyText"/>
        <w:ind w:left="469" w:right="234"/>
        <w:spacing w:before="108" w:line="338" w:lineRule="auto"/>
        <w:rPr/>
      </w:pPr>
      <w:r>
        <w:rPr>
          <w:spacing w:val="-22"/>
        </w:rPr>
        <w:t>有关行政监督部门，招标投标指导协调部门，公共资源交易中心，</w:t>
      </w:r>
      <w:r>
        <w:rPr>
          <w:spacing w:val="2"/>
        </w:rPr>
        <w:t xml:space="preserve"> </w:t>
      </w:r>
      <w:r>
        <w:rPr>
          <w:spacing w:val="-21"/>
        </w:rPr>
        <w:t>各交易主体：</w:t>
      </w:r>
    </w:p>
    <w:p>
      <w:pPr>
        <w:pStyle w:val="BodyText"/>
        <w:ind w:left="469" w:right="304" w:firstLine="650"/>
        <w:spacing w:before="5" w:line="334" w:lineRule="auto"/>
        <w:jc w:val="both"/>
        <w:rPr/>
      </w:pPr>
      <w:r>
        <w:rPr>
          <w:spacing w:val="-14"/>
        </w:rPr>
        <w:t>近年来，为规范招标投标行为，国家和省级层面先后出</w:t>
      </w:r>
      <w:r>
        <w:rPr>
          <w:spacing w:val="-15"/>
        </w:rPr>
        <w:t>台了</w:t>
      </w:r>
      <w:r>
        <w:rPr/>
        <w:t xml:space="preserve"> </w:t>
      </w:r>
      <w:r>
        <w:rPr>
          <w:spacing w:val="-16"/>
        </w:rPr>
        <w:t>一系列规章制度，为推动政策有效落实，切实发挥制度的刚性约</w:t>
      </w:r>
      <w:r>
        <w:rPr>
          <w:spacing w:val="4"/>
        </w:rPr>
        <w:t xml:space="preserve"> </w:t>
      </w:r>
      <w:r>
        <w:rPr>
          <w:spacing w:val="-16"/>
        </w:rPr>
        <w:t>束和政策引导作用，着力规范我市招标投标行为，结合国家招标</w:t>
      </w:r>
      <w:r>
        <w:rPr>
          <w:spacing w:val="16"/>
        </w:rPr>
        <w:t xml:space="preserve"> </w:t>
      </w:r>
      <w:r>
        <w:rPr>
          <w:spacing w:val="-14"/>
        </w:rPr>
        <w:t>投标领域突出问题系统整治有关要求，现就有关工作明确如下：</w:t>
      </w:r>
    </w:p>
    <w:p>
      <w:pPr>
        <w:ind w:left="1120"/>
        <w:spacing w:before="1" w:line="220" w:lineRule="auto"/>
        <w:rPr>
          <w:rFonts w:ascii="SimHei" w:hAnsi="SimHei" w:eastAsia="SimHei" w:cs="SimHei"/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spacing w:val="-12"/>
        </w:rPr>
        <w:t>一、关于招标文件发布和管理</w:t>
      </w:r>
    </w:p>
    <w:p>
      <w:pPr>
        <w:pStyle w:val="BodyText"/>
        <w:ind w:left="469" w:right="288" w:firstLine="635"/>
        <w:spacing w:before="225" w:line="336" w:lineRule="auto"/>
        <w:jc w:val="both"/>
        <w:rPr/>
      </w:pPr>
      <w:r>
        <w:rPr>
          <w:spacing w:val="-1"/>
        </w:rPr>
        <w:t>《招标人主体责任履行指引》(发改法规〔2025〕1358号)</w:t>
      </w:r>
      <w:r>
        <w:rPr>
          <w:spacing w:val="3"/>
        </w:rPr>
        <w:t xml:space="preserve"> </w:t>
      </w:r>
      <w:r>
        <w:rPr>
          <w:spacing w:val="9"/>
        </w:rPr>
        <w:t>(以下简称1358号文)第十三条规定，招标人要建立招标文件</w:t>
      </w:r>
      <w:r>
        <w:rPr>
          <w:spacing w:val="9"/>
        </w:rPr>
        <w:t xml:space="preserve"> </w:t>
      </w:r>
      <w:r>
        <w:rPr>
          <w:spacing w:val="-15"/>
        </w:rPr>
        <w:t>合规审查机制。在执行过程中，部分招标人对招标</w:t>
      </w:r>
      <w:r>
        <w:rPr>
          <w:spacing w:val="-16"/>
        </w:rPr>
        <w:t>文件审查流于</w:t>
      </w:r>
      <w:r>
        <w:rPr/>
        <w:t xml:space="preserve"> </w:t>
      </w:r>
      <w:r>
        <w:rPr>
          <w:spacing w:val="-15"/>
        </w:rPr>
        <w:t>形式，对实质性内容审查不够重视。通过日常监督检查发现，招</w:t>
      </w:r>
      <w:r>
        <w:rPr>
          <w:spacing w:val="1"/>
        </w:rPr>
        <w:t xml:space="preserve"> </w:t>
      </w:r>
      <w:r>
        <w:rPr>
          <w:spacing w:val="-16"/>
        </w:rPr>
        <w:t>标人示范文本选用错误，设置的资格条件、评分标准和方法涉嫌</w:t>
      </w:r>
      <w:r>
        <w:rPr>
          <w:spacing w:val="16"/>
        </w:rPr>
        <w:t xml:space="preserve"> </w:t>
      </w:r>
      <w:r>
        <w:rPr>
          <w:spacing w:val="-15"/>
        </w:rPr>
        <w:t>排斥限制竞争等有碍全国统一大市场建设的问题时有发生。为有</w:t>
      </w:r>
      <w:r>
        <w:rPr>
          <w:spacing w:val="1"/>
        </w:rPr>
        <w:t xml:space="preserve"> </w:t>
      </w:r>
      <w:r>
        <w:rPr>
          <w:spacing w:val="-16"/>
        </w:rPr>
        <w:t>效杜绝此类问题，根据《公共资源交易中心招标投标现场管理暂</w:t>
      </w:r>
      <w:r>
        <w:rPr/>
        <w:t xml:space="preserve"> </w:t>
      </w:r>
      <w:r>
        <w:rPr>
          <w:spacing w:val="7"/>
        </w:rPr>
        <w:t>行办法》(国家发改委等七部门43号令)(以下简称43号令)第</w:t>
      </w:r>
      <w:r>
        <w:rPr>
          <w:spacing w:val="13"/>
        </w:rPr>
        <w:t xml:space="preserve"> </w:t>
      </w:r>
      <w:r>
        <w:rPr>
          <w:spacing w:val="-13"/>
        </w:rPr>
        <w:t>二十七条、第三十三条的规定，招标人发布招标文件后，市(区)</w:t>
      </w:r>
    </w:p>
    <w:p>
      <w:pPr>
        <w:spacing w:line="336" w:lineRule="auto"/>
        <w:sectPr>
          <w:footerReference w:type="default" r:id="rId1"/>
          <w:pgSz w:w="11900" w:h="16820"/>
          <w:pgMar w:top="1429" w:right="1140" w:bottom="1030" w:left="1120" w:header="0" w:footer="970" w:gutter="0"/>
        </w:sectPr>
        <w:rPr/>
      </w:pPr>
    </w:p>
    <w:p>
      <w:pPr>
        <w:spacing w:line="351" w:lineRule="auto"/>
        <w:rPr>
          <w:rFonts w:ascii="Arial"/>
          <w:sz w:val="21"/>
        </w:rPr>
      </w:pPr>
      <w:r/>
    </w:p>
    <w:p>
      <w:pPr>
        <w:spacing w:line="351" w:lineRule="auto"/>
        <w:rPr>
          <w:rFonts w:ascii="Arial"/>
          <w:sz w:val="21"/>
        </w:rPr>
      </w:pPr>
      <w:r/>
    </w:p>
    <w:p>
      <w:pPr>
        <w:pStyle w:val="BodyText"/>
        <w:ind w:right="24"/>
        <w:spacing w:before="104" w:line="346" w:lineRule="auto"/>
        <w:rPr>
          <w:sz w:val="32"/>
          <w:szCs w:val="32"/>
        </w:rPr>
      </w:pPr>
      <w:r>
        <w:rPr>
          <w:sz w:val="32"/>
          <w:szCs w:val="32"/>
          <w:spacing w:val="-6"/>
        </w:rPr>
        <w:t>公共资源交易中心(以下简称“交易中心”)</w:t>
      </w:r>
      <w:r>
        <w:rPr>
          <w:sz w:val="32"/>
          <w:szCs w:val="32"/>
          <w:spacing w:val="-7"/>
        </w:rPr>
        <w:t>要利用招标文件智能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spacing w:val="-7"/>
        </w:rPr>
        <w:t>审查模型或通过人工核验的方式对招标文件进行监测，发现存在</w:t>
      </w:r>
      <w:r>
        <w:rPr>
          <w:sz w:val="32"/>
          <w:szCs w:val="32"/>
          <w:spacing w:val="8"/>
        </w:rPr>
        <w:t xml:space="preserve"> </w:t>
      </w:r>
      <w:r>
        <w:rPr>
          <w:sz w:val="32"/>
          <w:szCs w:val="32"/>
          <w:spacing w:val="5"/>
        </w:rPr>
        <w:t>43号令第二十七条所列情形的，应当及时提醒招标人改正；存</w:t>
      </w:r>
      <w:r>
        <w:rPr>
          <w:sz w:val="32"/>
          <w:szCs w:val="32"/>
          <w:spacing w:val="15"/>
        </w:rPr>
        <w:t xml:space="preserve"> </w:t>
      </w:r>
      <w:r>
        <w:rPr>
          <w:sz w:val="32"/>
          <w:szCs w:val="32"/>
          <w:spacing w:val="3"/>
        </w:rPr>
        <w:t>在43号令第三十三条所列情形的，应当向行政监督</w:t>
      </w:r>
      <w:r>
        <w:rPr>
          <w:sz w:val="32"/>
          <w:szCs w:val="32"/>
          <w:spacing w:val="2"/>
        </w:rPr>
        <w:t>部门报告。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spacing w:val="-8"/>
        </w:rPr>
        <w:t>行政监督部门应加大对招标文件的抽查力度，对抽查发现的问题</w:t>
      </w:r>
      <w:r>
        <w:rPr>
          <w:sz w:val="32"/>
          <w:szCs w:val="32"/>
          <w:spacing w:val="6"/>
        </w:rPr>
        <w:t xml:space="preserve"> </w:t>
      </w:r>
      <w:r>
        <w:rPr>
          <w:sz w:val="32"/>
          <w:szCs w:val="32"/>
          <w:spacing w:val="-8"/>
        </w:rPr>
        <w:t>或交易中心报告的问题线索认真调查核实并依法作出处理，推动</w:t>
      </w:r>
      <w:r>
        <w:rPr>
          <w:sz w:val="32"/>
          <w:szCs w:val="32"/>
          <w:spacing w:val="13"/>
        </w:rPr>
        <w:t xml:space="preserve"> </w:t>
      </w:r>
      <w:r>
        <w:rPr>
          <w:sz w:val="32"/>
          <w:szCs w:val="32"/>
          <w:spacing w:val="-8"/>
        </w:rPr>
        <w:t>招标人认真全面履行主体责任。</w:t>
      </w:r>
    </w:p>
    <w:p>
      <w:pPr>
        <w:ind w:left="699"/>
        <w:spacing w:before="41" w:line="221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二、关于招标人代表选派</w:t>
      </w:r>
    </w:p>
    <w:p>
      <w:pPr>
        <w:pStyle w:val="BodyText"/>
        <w:ind w:firstLine="719"/>
        <w:spacing w:before="217" w:line="347" w:lineRule="auto"/>
        <w:jc w:val="both"/>
        <w:rPr>
          <w:sz w:val="32"/>
          <w:szCs w:val="32"/>
        </w:rPr>
      </w:pPr>
      <w:r>
        <w:rPr>
          <w:sz w:val="32"/>
          <w:szCs w:val="32"/>
        </w:rPr>
        <w:t>1358号文第五条规定，招标人要打造专业化招标队伍；第</w:t>
      </w:r>
      <w:r>
        <w:rPr>
          <w:sz w:val="32"/>
          <w:szCs w:val="32"/>
          <w:spacing w:val="2"/>
        </w:rPr>
        <w:t xml:space="preserve"> </w:t>
      </w:r>
      <w:r>
        <w:rPr>
          <w:sz w:val="32"/>
          <w:szCs w:val="32"/>
          <w:spacing w:val="-7"/>
        </w:rPr>
        <w:t>二十三条进一步要求，招标人要选派熟悉项目情况，掌握招标投</w:t>
      </w:r>
      <w:r>
        <w:rPr>
          <w:sz w:val="32"/>
          <w:szCs w:val="32"/>
          <w:spacing w:val="6"/>
        </w:rPr>
        <w:t xml:space="preserve"> </w:t>
      </w:r>
      <w:r>
        <w:rPr>
          <w:sz w:val="32"/>
          <w:szCs w:val="32"/>
          <w:spacing w:val="3"/>
        </w:rPr>
        <w:t>标法律法规的代表参加评标(评审，下同)。根据上述规定招标</w:t>
      </w:r>
      <w:r>
        <w:rPr>
          <w:sz w:val="32"/>
          <w:szCs w:val="32"/>
          <w:spacing w:val="14"/>
        </w:rPr>
        <w:t xml:space="preserve"> </w:t>
      </w:r>
      <w:r>
        <w:rPr>
          <w:sz w:val="32"/>
          <w:szCs w:val="32"/>
          <w:spacing w:val="-12"/>
        </w:rPr>
        <w:t>人要选派代表参与评标，且选派的代表应当从本单位、本</w:t>
      </w:r>
      <w:r>
        <w:rPr>
          <w:sz w:val="32"/>
          <w:szCs w:val="32"/>
          <w:spacing w:val="-13"/>
        </w:rPr>
        <w:t>系统(仅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spacing w:val="-7"/>
        </w:rPr>
        <w:t>指具有上下级关系的不同单位，或隶属于同一个上级部门的不同</w:t>
      </w:r>
      <w:r>
        <w:rPr>
          <w:sz w:val="32"/>
          <w:szCs w:val="32"/>
          <w:spacing w:val="7"/>
        </w:rPr>
        <w:t xml:space="preserve"> </w:t>
      </w:r>
      <w:r>
        <w:rPr>
          <w:sz w:val="32"/>
          <w:szCs w:val="32"/>
          <w:spacing w:val="-2"/>
        </w:rPr>
        <w:t>单位)在职人员中产生。但当前招标人普遍存在政策理解偏差或</w:t>
      </w:r>
      <w:r>
        <w:rPr>
          <w:sz w:val="32"/>
          <w:szCs w:val="32"/>
          <w:spacing w:val="3"/>
        </w:rPr>
        <w:t xml:space="preserve"> </w:t>
      </w:r>
      <w:r>
        <w:rPr>
          <w:sz w:val="32"/>
          <w:szCs w:val="32"/>
          <w:spacing w:val="-7"/>
        </w:rPr>
        <w:t>执行走样的问题，有的不选派代表参加评标，有的委托外部人员</w:t>
      </w:r>
      <w:r>
        <w:rPr>
          <w:sz w:val="32"/>
          <w:szCs w:val="32"/>
          <w:spacing w:val="6"/>
        </w:rPr>
        <w:t xml:space="preserve"> </w:t>
      </w:r>
      <w:r>
        <w:rPr>
          <w:sz w:val="32"/>
          <w:szCs w:val="32"/>
          <w:spacing w:val="-8"/>
        </w:rPr>
        <w:t>参加评标。为杜绝此类问题，交易中心要加强招标人代表身份的</w:t>
      </w:r>
      <w:r>
        <w:rPr>
          <w:sz w:val="32"/>
          <w:szCs w:val="32"/>
          <w:spacing w:val="13"/>
        </w:rPr>
        <w:t xml:space="preserve"> </w:t>
      </w:r>
      <w:r>
        <w:rPr>
          <w:sz w:val="32"/>
          <w:szCs w:val="32"/>
          <w:spacing w:val="6"/>
        </w:rPr>
        <w:t>核验，核验内容包括身份证、与招标人关系证明(招标人出具)</w:t>
      </w:r>
      <w:r>
        <w:rPr>
          <w:sz w:val="32"/>
          <w:szCs w:val="32"/>
          <w:spacing w:val="12"/>
        </w:rPr>
        <w:t xml:space="preserve"> </w:t>
      </w:r>
      <w:r>
        <w:rPr>
          <w:sz w:val="32"/>
          <w:szCs w:val="32"/>
          <w:spacing w:val="10"/>
        </w:rPr>
        <w:t>及近3个月社会保险参保证明(以上三个材料须同时具备)。交</w:t>
      </w:r>
      <w:r>
        <w:rPr>
          <w:sz w:val="32"/>
          <w:szCs w:val="32"/>
          <w:spacing w:val="16"/>
        </w:rPr>
        <w:t xml:space="preserve"> </w:t>
      </w:r>
      <w:r>
        <w:rPr>
          <w:sz w:val="32"/>
          <w:szCs w:val="32"/>
          <w:spacing w:val="-8"/>
        </w:rPr>
        <w:t>易中心发现招标人未依法选派代表参加评标，以及招标人代表涉</w:t>
      </w:r>
      <w:r>
        <w:rPr>
          <w:sz w:val="32"/>
          <w:szCs w:val="32"/>
          <w:spacing w:val="3"/>
        </w:rPr>
        <w:t xml:space="preserve"> </w:t>
      </w:r>
      <w:r>
        <w:rPr>
          <w:sz w:val="32"/>
          <w:szCs w:val="32"/>
          <w:spacing w:val="-7"/>
        </w:rPr>
        <w:t>嫌违法违规评标的，应及时通报行政监督部门。行政监督部门应</w:t>
      </w:r>
      <w:r>
        <w:rPr>
          <w:sz w:val="32"/>
          <w:szCs w:val="32"/>
          <w:spacing w:val="17"/>
        </w:rPr>
        <w:t xml:space="preserve"> </w:t>
      </w:r>
      <w:r>
        <w:rPr>
          <w:sz w:val="32"/>
          <w:szCs w:val="32"/>
          <w:spacing w:val="-7"/>
        </w:rPr>
        <w:t>依法依规进行处理，督促招标人不折不扣地执行好《中华人民共</w:t>
      </w:r>
    </w:p>
    <w:p>
      <w:pPr>
        <w:spacing w:line="347" w:lineRule="auto"/>
        <w:sectPr>
          <w:footerReference w:type="default" r:id="rId3"/>
          <w:pgSz w:w="11900" w:h="16820"/>
          <w:pgMar w:top="1429" w:right="1418" w:bottom="1116" w:left="1660" w:header="0" w:footer="802" w:gutter="0"/>
        </w:sectPr>
        <w:rPr>
          <w:sz w:val="32"/>
          <w:szCs w:val="32"/>
        </w:rPr>
      </w:pPr>
    </w:p>
    <w:p>
      <w:pPr>
        <w:spacing w:line="345" w:lineRule="auto"/>
        <w:rPr>
          <w:rFonts w:ascii="Arial"/>
          <w:sz w:val="21"/>
        </w:rPr>
      </w:pPr>
      <w:r/>
    </w:p>
    <w:p>
      <w:pPr>
        <w:spacing w:line="345" w:lineRule="auto"/>
        <w:rPr>
          <w:rFonts w:ascii="Arial"/>
          <w:sz w:val="21"/>
        </w:rPr>
      </w:pPr>
      <w:r/>
    </w:p>
    <w:p>
      <w:pPr>
        <w:pStyle w:val="BodyText"/>
        <w:ind w:right="100"/>
        <w:spacing w:before="104" w:line="347" w:lineRule="auto"/>
        <w:rPr>
          <w:sz w:val="32"/>
          <w:szCs w:val="32"/>
        </w:rPr>
      </w:pPr>
      <w:r>
        <w:rPr>
          <w:sz w:val="32"/>
          <w:szCs w:val="32"/>
          <w:spacing w:val="-5"/>
        </w:rPr>
        <w:t>和国招标投标法》第三十七条第二款关于评标委员会组成的强制</w:t>
      </w:r>
      <w:r>
        <w:rPr>
          <w:sz w:val="32"/>
          <w:szCs w:val="32"/>
          <w:spacing w:val="8"/>
        </w:rPr>
        <w:t xml:space="preserve"> </w:t>
      </w:r>
      <w:r>
        <w:rPr>
          <w:sz w:val="32"/>
          <w:szCs w:val="32"/>
          <w:spacing w:val="-13"/>
        </w:rPr>
        <w:t>性规定。</w:t>
      </w:r>
    </w:p>
    <w:p>
      <w:pPr>
        <w:ind w:left="639"/>
        <w:spacing w:line="221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1"/>
        </w:rPr>
        <w:t>三、关于招标代理机构的选择</w:t>
      </w:r>
    </w:p>
    <w:p>
      <w:pPr>
        <w:pStyle w:val="BodyText"/>
        <w:ind w:right="15" w:firstLine="624"/>
        <w:spacing w:before="194" w:line="336" w:lineRule="auto"/>
        <w:jc w:val="both"/>
        <w:rPr/>
      </w:pPr>
      <w:r>
        <w:rPr>
          <w:spacing w:val="-9"/>
        </w:rPr>
        <w:t>《工程建设项目招标代理机构管理暂行办法》(国家发改委</w:t>
      </w:r>
      <w:r>
        <w:rPr>
          <w:spacing w:val="2"/>
        </w:rPr>
        <w:t xml:space="preserve"> </w:t>
      </w:r>
      <w:r>
        <w:rPr>
          <w:spacing w:val="14"/>
        </w:rPr>
        <w:t>等六部门34号令)(以下简称34号令)</w:t>
      </w:r>
      <w:r>
        <w:rPr>
          <w:spacing w:val="13"/>
        </w:rPr>
        <w:t>第七条和第十三条分别</w:t>
      </w:r>
      <w:r>
        <w:rPr/>
        <w:t xml:space="preserve"> </w:t>
      </w:r>
      <w:r>
        <w:rPr>
          <w:spacing w:val="-16"/>
        </w:rPr>
        <w:t>规定，招标代理机构应当通过其设立登记所在地省级建筑市场监</w:t>
      </w:r>
      <w:r>
        <w:rPr>
          <w:spacing w:val="17"/>
        </w:rPr>
        <w:t xml:space="preserve"> </w:t>
      </w:r>
      <w:r>
        <w:rPr>
          <w:spacing w:val="-16"/>
        </w:rPr>
        <w:t>管一体化工作平台，登记本机构及从业人员信息；招标人应当根</w:t>
      </w:r>
      <w:r>
        <w:rPr>
          <w:spacing w:val="17"/>
        </w:rPr>
        <w:t xml:space="preserve"> </w:t>
      </w:r>
      <w:r>
        <w:rPr>
          <w:spacing w:val="-23"/>
        </w:rPr>
        <w:t>据项目需求、代理机构及其从业人员能力，从登记的代理机构中，</w:t>
      </w:r>
      <w:r>
        <w:rPr>
          <w:spacing w:val="10"/>
        </w:rPr>
        <w:t xml:space="preserve"> </w:t>
      </w:r>
      <w:r>
        <w:rPr>
          <w:spacing w:val="-15"/>
        </w:rPr>
        <w:t>自行择优选取。但是日常监督检查发现，部分招标人对代理机构</w:t>
      </w:r>
      <w:r>
        <w:rPr>
          <w:spacing w:val="3"/>
        </w:rPr>
        <w:t xml:space="preserve"> </w:t>
      </w:r>
      <w:r>
        <w:rPr>
          <w:spacing w:val="-16"/>
        </w:rPr>
        <w:t>把关不严，选择未进行登记的代理机构承接代理业务，导致代理</w:t>
      </w:r>
      <w:r>
        <w:rPr>
          <w:spacing w:val="16"/>
        </w:rPr>
        <w:t xml:space="preserve"> </w:t>
      </w:r>
      <w:r>
        <w:rPr>
          <w:spacing w:val="-16"/>
        </w:rPr>
        <w:t>质量参差补齐，差错行为时常发生。为减少此类问题产生，招标</w:t>
      </w:r>
      <w:r>
        <w:rPr>
          <w:spacing w:val="16"/>
        </w:rPr>
        <w:t xml:space="preserve"> </w:t>
      </w:r>
      <w:r>
        <w:rPr>
          <w:spacing w:val="-16"/>
        </w:rPr>
        <w:t>人应加强对代理机构的信息查验，不得选用未进行信息登记的承</w:t>
      </w:r>
      <w:r>
        <w:rPr>
          <w:spacing w:val="18"/>
        </w:rPr>
        <w:t xml:space="preserve"> </w:t>
      </w:r>
      <w:r>
        <w:rPr>
          <w:spacing w:val="-15"/>
        </w:rPr>
        <w:t>接招标代理业务。同时市交易中心要对代理机构服务质量评价结</w:t>
      </w:r>
      <w:r>
        <w:rPr/>
        <w:t xml:space="preserve"> </w:t>
      </w:r>
      <w:r>
        <w:rPr>
          <w:spacing w:val="-14"/>
        </w:rPr>
        <w:t>果进行实时公示，为招标人择优选择提供参考。</w:t>
      </w:r>
    </w:p>
    <w:p>
      <w:pPr>
        <w:ind w:left="639"/>
        <w:spacing w:before="64" w:line="222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四、关于远程异地评标工作推进</w:t>
      </w:r>
    </w:p>
    <w:p>
      <w:pPr>
        <w:pStyle w:val="BodyText"/>
        <w:ind w:firstLine="639"/>
        <w:spacing w:before="222" w:line="346" w:lineRule="auto"/>
        <w:jc w:val="both"/>
        <w:rPr>
          <w:sz w:val="32"/>
          <w:szCs w:val="32"/>
        </w:rPr>
      </w:pPr>
      <w:r>
        <w:rPr>
          <w:sz w:val="32"/>
          <w:szCs w:val="32"/>
          <w:spacing w:val="-7"/>
        </w:rPr>
        <w:t>我市远程异地评标活动全面实施以来，部分招标人、监督部</w:t>
      </w:r>
      <w:r>
        <w:rPr>
          <w:sz w:val="32"/>
          <w:szCs w:val="32"/>
          <w:spacing w:val="18"/>
        </w:rPr>
        <w:t xml:space="preserve"> </w:t>
      </w:r>
      <w:r>
        <w:rPr>
          <w:sz w:val="32"/>
          <w:szCs w:val="32"/>
          <w:spacing w:val="6"/>
        </w:rPr>
        <w:t>门、交易中心对于跨省、跨市、跨县(市、区</w:t>
      </w:r>
      <w:r>
        <w:rPr>
          <w:sz w:val="32"/>
          <w:szCs w:val="32"/>
          <w:spacing w:val="5"/>
        </w:rPr>
        <w:t>)远程异地评标的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spacing w:val="-6"/>
        </w:rPr>
        <w:t>规模标准、项目属地区分、客场专家数量等还存在一些误区。根</w:t>
      </w:r>
      <w:r>
        <w:rPr>
          <w:sz w:val="32"/>
          <w:szCs w:val="32"/>
          <w:spacing w:val="17"/>
        </w:rPr>
        <w:t xml:space="preserve"> </w:t>
      </w:r>
      <w:r>
        <w:rPr>
          <w:sz w:val="32"/>
          <w:szCs w:val="32"/>
          <w:spacing w:val="-12"/>
        </w:rPr>
        <w:t>据国家最新要求，现就有关事项进一步明确如下：一是规</w:t>
      </w:r>
      <w:r>
        <w:rPr>
          <w:sz w:val="32"/>
          <w:szCs w:val="32"/>
          <w:spacing w:val="-13"/>
        </w:rPr>
        <w:t>模标准。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spacing w:val="-6"/>
        </w:rPr>
        <w:t>全市范围内所有依法必须进行招标的项目，市级施工、货物、服</w:t>
      </w:r>
      <w:r>
        <w:rPr>
          <w:sz w:val="32"/>
          <w:szCs w:val="32"/>
          <w:spacing w:val="17"/>
        </w:rPr>
        <w:t xml:space="preserve"> </w:t>
      </w:r>
      <w:r>
        <w:rPr>
          <w:sz w:val="32"/>
          <w:szCs w:val="32"/>
          <w:spacing w:val="10"/>
        </w:rPr>
        <w:t>务单项合同估算价分别达到3000万元、1000万元、500万元及</w:t>
      </w:r>
    </w:p>
    <w:p>
      <w:pPr>
        <w:spacing w:line="346" w:lineRule="auto"/>
        <w:sectPr>
          <w:footerReference w:type="default" r:id="rId4"/>
          <w:pgSz w:w="11900" w:h="16820"/>
          <w:pgMar w:top="1429" w:right="1319" w:bottom="1136" w:left="1650" w:header="0" w:footer="824" w:gutter="0"/>
        </w:sectPr>
        <w:rPr>
          <w:sz w:val="32"/>
          <w:szCs w:val="32"/>
        </w:rPr>
      </w:pPr>
    </w:p>
    <w:p>
      <w:pPr>
        <w:spacing w:line="318" w:lineRule="auto"/>
        <w:rPr>
          <w:rFonts w:ascii="Arial"/>
          <w:sz w:val="21"/>
        </w:rPr>
      </w:pPr>
      <w:r/>
    </w:p>
    <w:p>
      <w:pPr>
        <w:spacing w:line="319" w:lineRule="auto"/>
        <w:rPr>
          <w:rFonts w:ascii="Arial"/>
          <w:sz w:val="21"/>
        </w:rPr>
      </w:pPr>
      <w:r/>
    </w:p>
    <w:p>
      <w:pPr>
        <w:pStyle w:val="BodyText"/>
        <w:spacing w:before="107" w:line="336" w:lineRule="auto"/>
        <w:jc w:val="both"/>
        <w:rPr/>
      </w:pPr>
      <w:r>
        <w:rPr>
          <w:spacing w:val="-4"/>
        </w:rPr>
        <w:t>以上的，区级达到1000万元、500万元、200万元及</w:t>
      </w:r>
      <w:r>
        <w:rPr>
          <w:spacing w:val="-5"/>
        </w:rPr>
        <w:t>以上的，采</w:t>
      </w:r>
      <w:r>
        <w:rPr/>
        <w:t xml:space="preserve"> </w:t>
      </w:r>
      <w:r>
        <w:rPr>
          <w:spacing w:val="-17"/>
        </w:rPr>
        <w:t>取省内远程异地评标；无论市级项目，还是区级项目，施工、货</w:t>
      </w:r>
      <w:r>
        <w:rPr>
          <w:spacing w:val="11"/>
        </w:rPr>
        <w:t xml:space="preserve"> </w:t>
      </w:r>
      <w:r>
        <w:rPr>
          <w:spacing w:val="-8"/>
        </w:rPr>
        <w:t>物、服务单项合同估算价分别达到10000万元、2000</w:t>
      </w:r>
      <w:r>
        <w:rPr>
          <w:spacing w:val="-9"/>
        </w:rPr>
        <w:t>万元、1000</w:t>
      </w:r>
      <w:r>
        <w:rPr/>
        <w:t xml:space="preserve"> </w:t>
      </w:r>
      <w:r>
        <w:rPr>
          <w:spacing w:val="-16"/>
        </w:rPr>
        <w:t>万元及以上的，采取跨省远程异地评标。二是市区项目区分。由</w:t>
      </w:r>
      <w:r>
        <w:rPr>
          <w:spacing w:val="4"/>
        </w:rPr>
        <w:t xml:space="preserve"> </w:t>
      </w:r>
      <w:r>
        <w:rPr>
          <w:spacing w:val="-5"/>
        </w:rPr>
        <w:t>市级立项审批(核准、备案)部门审批的为市级项目；由区级立</w:t>
      </w:r>
      <w:r>
        <w:rPr>
          <w:spacing w:val="4"/>
        </w:rPr>
        <w:t xml:space="preserve"> </w:t>
      </w:r>
      <w:r>
        <w:rPr>
          <w:spacing w:val="-5"/>
        </w:rPr>
        <w:t>项审批(核准、备案)部门审批的为区级项目。按照省发改委要</w:t>
      </w:r>
      <w:r>
        <w:rPr>
          <w:spacing w:val="4"/>
        </w:rPr>
        <w:t xml:space="preserve"> </w:t>
      </w:r>
      <w:r>
        <w:rPr>
          <w:spacing w:val="-12"/>
        </w:rPr>
        <w:t>求，目前武汉市中心城区(含长江新区)项目暂按市级标准实施。</w:t>
      </w:r>
      <w:r>
        <w:rPr>
          <w:spacing w:val="2"/>
        </w:rPr>
        <w:t xml:space="preserve"> </w:t>
      </w:r>
      <w:r>
        <w:rPr>
          <w:spacing w:val="-17"/>
        </w:rPr>
        <w:t>三是客场专家数量。国家层面对客场专家人数未做统一规定，招</w:t>
      </w:r>
      <w:r>
        <w:rPr>
          <w:spacing w:val="17"/>
        </w:rPr>
        <w:t xml:space="preserve"> </w:t>
      </w:r>
      <w:r>
        <w:rPr>
          <w:spacing w:val="-13"/>
        </w:rPr>
        <w:t>标人可自行决定客场专家数量，可以抽多个，也可以只抽一个。</w:t>
      </w:r>
      <w:r>
        <w:rPr>
          <w:spacing w:val="18"/>
        </w:rPr>
        <w:t xml:space="preserve"> </w:t>
      </w:r>
      <w:r>
        <w:rPr>
          <w:spacing w:val="-17"/>
        </w:rPr>
        <w:t>四是达到规模标准未采取远程异地评标的，交易中心应提醒招标</w:t>
      </w:r>
      <w:r>
        <w:rPr>
          <w:spacing w:val="4"/>
        </w:rPr>
        <w:t xml:space="preserve"> </w:t>
      </w:r>
      <w:r>
        <w:rPr>
          <w:spacing w:val="-15"/>
        </w:rPr>
        <w:t>人在交易系统上传情况说明。</w:t>
      </w:r>
    </w:p>
    <w:p>
      <w:pPr>
        <w:ind w:left="669"/>
        <w:spacing w:before="46" w:line="222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五、关于异常投标行为调查处理</w:t>
      </w:r>
    </w:p>
    <w:p>
      <w:pPr>
        <w:pStyle w:val="BodyText"/>
        <w:ind w:right="45" w:firstLine="709"/>
        <w:spacing w:before="215" w:line="346" w:lineRule="auto"/>
        <w:jc w:val="both"/>
        <w:rPr>
          <w:sz w:val="32"/>
          <w:szCs w:val="32"/>
        </w:rPr>
      </w:pPr>
      <w:r>
        <w:rPr>
          <w:sz w:val="32"/>
          <w:szCs w:val="32"/>
          <w:spacing w:val="5"/>
        </w:rPr>
        <w:t>当前中标人无正当理由放弃中标，以及百投百中的“中标</w:t>
      </w:r>
      <w:r>
        <w:rPr>
          <w:sz w:val="32"/>
          <w:szCs w:val="32"/>
          <w:spacing w:val="13"/>
        </w:rPr>
        <w:t xml:space="preserve"> </w:t>
      </w:r>
      <w:r>
        <w:rPr>
          <w:sz w:val="32"/>
          <w:szCs w:val="32"/>
          <w:spacing w:val="-18"/>
        </w:rPr>
        <w:t>王”、屡投不中的“陪标王”等异常投标行为不同程度存在。为防</w:t>
      </w:r>
      <w:r>
        <w:rPr>
          <w:sz w:val="32"/>
          <w:szCs w:val="32"/>
          <w:spacing w:val="13"/>
        </w:rPr>
        <w:t xml:space="preserve"> </w:t>
      </w:r>
      <w:r>
        <w:rPr>
          <w:sz w:val="32"/>
          <w:szCs w:val="32"/>
          <w:spacing w:val="-7"/>
        </w:rPr>
        <w:t>范此类问题频繁发生，对中标人无正当理由放弃中标不与招标人</w:t>
      </w:r>
      <w:r>
        <w:rPr>
          <w:sz w:val="32"/>
          <w:szCs w:val="32"/>
          <w:spacing w:val="4"/>
        </w:rPr>
        <w:t xml:space="preserve"> </w:t>
      </w:r>
      <w:r>
        <w:rPr>
          <w:sz w:val="32"/>
          <w:szCs w:val="32"/>
          <w:spacing w:val="-7"/>
        </w:rPr>
        <w:t>签订合同的，根据《中华人民共和国招标投标法实施条例》第七</w:t>
      </w:r>
      <w:r>
        <w:rPr>
          <w:sz w:val="32"/>
          <w:szCs w:val="32"/>
          <w:spacing w:val="18"/>
        </w:rPr>
        <w:t xml:space="preserve"> </w:t>
      </w:r>
      <w:r>
        <w:rPr>
          <w:sz w:val="32"/>
          <w:szCs w:val="32"/>
          <w:spacing w:val="-7"/>
        </w:rPr>
        <w:t>十四条的规定，招标人应不予退还投标保证金，行政监督部门应</w:t>
      </w:r>
      <w:r>
        <w:rPr>
          <w:sz w:val="32"/>
          <w:szCs w:val="32"/>
          <w:spacing w:val="18"/>
        </w:rPr>
        <w:t xml:space="preserve"> </w:t>
      </w:r>
      <w:r>
        <w:rPr>
          <w:sz w:val="32"/>
          <w:szCs w:val="32"/>
          <w:spacing w:val="-6"/>
        </w:rPr>
        <w:t>依法进行调查处理。交易中心要充分运用数智技术开展穿透式分</w:t>
      </w:r>
      <w:r>
        <w:rPr>
          <w:sz w:val="32"/>
          <w:szCs w:val="32"/>
          <w:spacing w:val="6"/>
        </w:rPr>
        <w:t xml:space="preserve"> </w:t>
      </w:r>
      <w:r>
        <w:rPr>
          <w:sz w:val="32"/>
          <w:szCs w:val="32"/>
          <w:spacing w:val="-7"/>
        </w:rPr>
        <w:t>析，通过人工智能模型开展围串标识别，每半年对招标投标交易</w:t>
      </w:r>
      <w:r>
        <w:rPr>
          <w:sz w:val="32"/>
          <w:szCs w:val="32"/>
          <w:spacing w:val="4"/>
        </w:rPr>
        <w:t xml:space="preserve"> </w:t>
      </w:r>
      <w:r>
        <w:rPr>
          <w:sz w:val="32"/>
          <w:szCs w:val="32"/>
          <w:spacing w:val="-6"/>
        </w:rPr>
        <w:t>信息进行统计分析，发现“中标王”及“陪标王”等异常投标行</w:t>
      </w:r>
      <w:r>
        <w:rPr>
          <w:sz w:val="32"/>
          <w:szCs w:val="32"/>
          <w:spacing w:val="9"/>
        </w:rPr>
        <w:t xml:space="preserve"> </w:t>
      </w:r>
      <w:r>
        <w:rPr>
          <w:sz w:val="32"/>
          <w:szCs w:val="32"/>
          <w:spacing w:val="-7"/>
        </w:rPr>
        <w:t>为时，要通过电子监管系统及时推送给行政监督部门。行政监督</w:t>
      </w:r>
    </w:p>
    <w:p>
      <w:pPr>
        <w:spacing w:line="346" w:lineRule="auto"/>
        <w:sectPr>
          <w:footerReference w:type="default" r:id="rId5"/>
          <w:pgSz w:w="11900" w:h="16820"/>
          <w:pgMar w:top="1429" w:right="1364" w:bottom="1184" w:left="1640" w:header="0" w:footer="858" w:gutter="0"/>
        </w:sectPr>
        <w:rPr>
          <w:sz w:val="32"/>
          <w:szCs w:val="32"/>
        </w:rPr>
      </w:pPr>
    </w:p>
    <w:p>
      <w:pPr>
        <w:spacing w:line="338" w:lineRule="auto"/>
        <w:rPr>
          <w:rFonts w:ascii="Arial"/>
          <w:sz w:val="21"/>
        </w:rPr>
      </w:pPr>
      <w:r/>
    </w:p>
    <w:p>
      <w:pPr>
        <w:spacing w:line="338" w:lineRule="auto"/>
        <w:rPr>
          <w:rFonts w:ascii="Arial"/>
          <w:sz w:val="21"/>
        </w:rPr>
      </w:pPr>
      <w:r/>
    </w:p>
    <w:p>
      <w:pPr>
        <w:pStyle w:val="BodyText"/>
        <w:spacing w:before="107" w:line="335" w:lineRule="auto"/>
        <w:rPr/>
      </w:pPr>
      <w:r>
        <w:rPr>
          <w:spacing w:val="-15"/>
        </w:rPr>
        <w:t>部门依法调查处理后，符合《湖北省招标投标领域</w:t>
      </w:r>
      <w:r>
        <w:rPr>
          <w:spacing w:val="-16"/>
        </w:rPr>
        <w:t>问题线索移送</w:t>
      </w:r>
      <w:r>
        <w:rPr/>
        <w:t xml:space="preserve"> </w:t>
      </w:r>
      <w:r>
        <w:rPr>
          <w:spacing w:val="-13"/>
        </w:rPr>
        <w:t>工作指引》有关规定的，分别移送纪检监察机关或公安机</w:t>
      </w:r>
      <w:r>
        <w:rPr>
          <w:spacing w:val="-14"/>
        </w:rPr>
        <w:t>关。</w:t>
      </w:r>
    </w:p>
    <w:p>
      <w:pPr>
        <w:ind w:left="629"/>
        <w:spacing w:before="25" w:line="221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1"/>
        </w:rPr>
        <w:t>六、关于加大重大项目问题发现力度</w:t>
      </w:r>
    </w:p>
    <w:p>
      <w:pPr>
        <w:pStyle w:val="BodyText"/>
        <w:ind w:right="2" w:firstLine="669"/>
        <w:spacing w:before="251" w:line="346" w:lineRule="auto"/>
        <w:jc w:val="both"/>
        <w:rPr/>
      </w:pPr>
      <w:r>
        <w:rPr>
          <w:spacing w:val="-11"/>
        </w:rPr>
        <w:t>为加大对重大工程建设项目的监督管理，5亿元以上的工程</w:t>
      </w:r>
      <w:r>
        <w:rPr>
          <w:spacing w:val="13"/>
        </w:rPr>
        <w:t xml:space="preserve"> </w:t>
      </w:r>
      <w:r>
        <w:rPr>
          <w:spacing w:val="-16"/>
        </w:rPr>
        <w:t>项目建设项目中标结果发布后，交易中心应通过线上问卷形式征</w:t>
      </w:r>
      <w:r>
        <w:rPr>
          <w:spacing w:val="16"/>
        </w:rPr>
        <w:t xml:space="preserve"> </w:t>
      </w:r>
      <w:r>
        <w:rPr>
          <w:spacing w:val="-16"/>
        </w:rPr>
        <w:t>求未中标企业意见，对提出反馈意见的，交易中心应进行线下回</w:t>
      </w:r>
      <w:r>
        <w:rPr>
          <w:spacing w:val="11"/>
        </w:rPr>
        <w:t xml:space="preserve"> </w:t>
      </w:r>
      <w:r>
        <w:rPr>
          <w:spacing w:val="-9"/>
        </w:rPr>
        <w:t>访，并做好记录；对未提出反馈意见的，按不低于50%的</w:t>
      </w:r>
      <w:r>
        <w:rPr>
          <w:spacing w:val="-10"/>
        </w:rPr>
        <w:t>比例进</w:t>
      </w:r>
      <w:r>
        <w:rPr/>
        <w:t xml:space="preserve"> </w:t>
      </w:r>
      <w:r>
        <w:rPr>
          <w:spacing w:val="-16"/>
        </w:rPr>
        <w:t>行线下回访。发现问题线索时，根据问题性质分别移送行政监督</w:t>
      </w:r>
      <w:r>
        <w:rPr>
          <w:spacing w:val="17"/>
        </w:rPr>
        <w:t xml:space="preserve"> </w:t>
      </w:r>
      <w:r>
        <w:rPr>
          <w:spacing w:val="-15"/>
        </w:rPr>
        <w:t>部门、纪检监察机关或公安机关。</w:t>
      </w:r>
    </w:p>
    <w:p>
      <w:pPr>
        <w:pStyle w:val="BodyText"/>
        <w:ind w:left="629"/>
        <w:spacing w:before="96" w:line="222" w:lineRule="auto"/>
        <w:rPr>
          <w:sz w:val="35"/>
          <w:szCs w:val="35"/>
        </w:rPr>
      </w:pPr>
      <w:r>
        <w:rPr>
          <w:sz w:val="35"/>
          <w:szCs w:val="35"/>
          <w:spacing w:val="-2"/>
        </w:rPr>
        <w:t>本指引自2026年10月1日起实施。</w:t>
      </w:r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pStyle w:val="BodyText"/>
        <w:ind w:left="5019"/>
        <w:spacing w:before="114" w:line="222" w:lineRule="auto"/>
        <w:rPr>
          <w:sz w:val="35"/>
          <w:szCs w:val="35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3181286</wp:posOffset>
            </wp:positionH>
            <wp:positionV relativeFrom="paragraph">
              <wp:posOffset>-810174</wp:posOffset>
            </wp:positionV>
            <wp:extent cx="1555807" cy="1543040"/>
            <wp:effectExtent l="0" t="0" r="0" b="0"/>
            <wp:wrapNone/>
            <wp:docPr id="6" name="IM 6"/>
            <wp:cNvGraphicFramePr/>
            <a:graphic>
              <a:graphicData uri="http://schemas.openxmlformats.org/drawingml/2006/picture">
                <pic:pic>
                  <pic:nvPicPr>
                    <pic:cNvPr id="6" name="IM 6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555807" cy="1543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5"/>
          <w:szCs w:val="35"/>
          <w:spacing w:val="-31"/>
        </w:rPr>
        <w:t>武汉市投资促进局</w:t>
      </w:r>
    </w:p>
    <w:p>
      <w:pPr>
        <w:pStyle w:val="BodyText"/>
        <w:ind w:left="5059"/>
        <w:spacing w:before="182" w:line="222" w:lineRule="auto"/>
        <w:rPr>
          <w:sz w:val="35"/>
          <w:szCs w:val="35"/>
        </w:rPr>
      </w:pPr>
      <w:r>
        <w:rPr>
          <w:sz w:val="35"/>
          <w:szCs w:val="35"/>
          <w:spacing w:val="20"/>
        </w:rPr>
        <w:t>2026年8月28日</w:t>
      </w:r>
    </w:p>
    <w:p>
      <w:pPr>
        <w:spacing w:line="222" w:lineRule="auto"/>
        <w:sectPr>
          <w:footerReference w:type="default" r:id="rId6"/>
          <w:pgSz w:w="11900" w:h="16820"/>
          <w:pgMar w:top="1429" w:right="1424" w:bottom="1097" w:left="1660" w:header="0" w:footer="799" w:gutter="0"/>
        </w:sectPr>
        <w:rPr>
          <w:sz w:val="35"/>
          <w:szCs w:val="35"/>
        </w:rPr>
      </w:pPr>
    </w:p>
    <w:p>
      <w:pPr>
        <w:spacing w:before="6"/>
        <w:rPr/>
      </w:pPr>
      <w:r/>
    </w:p>
    <w:p>
      <w:pPr>
        <w:spacing w:before="6"/>
        <w:rPr/>
      </w:pPr>
      <w:r/>
    </w:p>
    <w:p>
      <w:pPr>
        <w:spacing w:before="6"/>
        <w:rPr/>
      </w:pPr>
      <w:r/>
    </w:p>
    <w:p>
      <w:pPr>
        <w:spacing w:before="6"/>
        <w:rPr/>
      </w:pPr>
      <w:r/>
    </w:p>
    <w:p>
      <w:pPr>
        <w:spacing w:before="6"/>
        <w:rPr/>
      </w:pPr>
      <w:r/>
    </w:p>
    <w:p>
      <w:pPr>
        <w:spacing w:before="6"/>
        <w:rPr/>
      </w:pPr>
      <w:r/>
    </w:p>
    <w:p>
      <w:pPr>
        <w:spacing w:before="6"/>
        <w:rPr/>
      </w:pPr>
      <w:r/>
    </w:p>
    <w:p>
      <w:pPr>
        <w:spacing w:before="5"/>
        <w:rPr/>
      </w:pPr>
      <w:r/>
    </w:p>
    <w:p>
      <w:pPr>
        <w:spacing w:before="5"/>
        <w:rPr/>
      </w:pPr>
      <w:r/>
    </w:p>
    <w:p>
      <w:pPr>
        <w:spacing w:before="5"/>
        <w:rPr/>
      </w:pPr>
      <w:r/>
    </w:p>
    <w:p>
      <w:pPr>
        <w:spacing w:before="5"/>
        <w:rPr/>
      </w:pPr>
      <w:r/>
    </w:p>
    <w:p>
      <w:pPr>
        <w:spacing w:before="5"/>
        <w:rPr/>
      </w:pPr>
      <w:r/>
    </w:p>
    <w:p>
      <w:pPr>
        <w:spacing w:before="5"/>
        <w:rPr/>
      </w:pPr>
      <w:r/>
    </w:p>
    <w:p>
      <w:pPr>
        <w:spacing w:before="5"/>
        <w:rPr/>
      </w:pPr>
      <w:r/>
    </w:p>
    <w:p>
      <w:pPr>
        <w:spacing w:before="5"/>
        <w:rPr/>
      </w:pPr>
      <w:r/>
    </w:p>
    <w:p>
      <w:pPr>
        <w:spacing w:before="5"/>
        <w:rPr/>
      </w:pPr>
      <w:r/>
    </w:p>
    <w:p>
      <w:pPr>
        <w:spacing w:before="5"/>
        <w:rPr/>
      </w:pPr>
      <w:r/>
    </w:p>
    <w:p>
      <w:pPr>
        <w:spacing w:before="5"/>
        <w:rPr/>
      </w:pPr>
      <w:r/>
    </w:p>
    <w:p>
      <w:pPr>
        <w:spacing w:before="5"/>
        <w:rPr/>
      </w:pPr>
      <w:r/>
    </w:p>
    <w:p>
      <w:pPr>
        <w:spacing w:before="5"/>
        <w:rPr/>
      </w:pPr>
      <w:r/>
    </w:p>
    <w:p>
      <w:pPr>
        <w:spacing w:before="5"/>
        <w:rPr/>
      </w:pPr>
      <w:r/>
    </w:p>
    <w:p>
      <w:pPr>
        <w:spacing w:before="5"/>
        <w:rPr/>
      </w:pPr>
      <w:r/>
    </w:p>
    <w:p>
      <w:pPr>
        <w:spacing w:before="5"/>
        <w:rPr/>
      </w:pPr>
      <w:r/>
    </w:p>
    <w:p>
      <w:pPr>
        <w:spacing w:before="5"/>
        <w:rPr/>
      </w:pPr>
      <w:r/>
    </w:p>
    <w:p>
      <w:pPr>
        <w:spacing w:before="5"/>
        <w:rPr/>
      </w:pPr>
      <w:r/>
    </w:p>
    <w:p>
      <w:pPr>
        <w:spacing w:before="5"/>
        <w:rPr/>
      </w:pPr>
      <w:r/>
    </w:p>
    <w:p>
      <w:pPr>
        <w:spacing w:before="5"/>
        <w:rPr/>
      </w:pPr>
      <w:r/>
    </w:p>
    <w:p>
      <w:pPr>
        <w:spacing w:before="5"/>
        <w:rPr/>
      </w:pPr>
      <w:r/>
    </w:p>
    <w:p>
      <w:pPr>
        <w:spacing w:before="5"/>
        <w:rPr/>
      </w:pPr>
      <w:r/>
    </w:p>
    <w:p>
      <w:pPr>
        <w:spacing w:before="5"/>
        <w:rPr/>
      </w:pPr>
      <w:r/>
    </w:p>
    <w:p>
      <w:pPr>
        <w:spacing w:before="5"/>
        <w:rPr/>
      </w:pPr>
      <w:r/>
    </w:p>
    <w:p>
      <w:pPr>
        <w:spacing w:before="5"/>
        <w:rPr/>
      </w:pPr>
      <w:r/>
    </w:p>
    <w:p>
      <w:pPr>
        <w:spacing w:before="5"/>
        <w:rPr/>
      </w:pPr>
      <w:r/>
    </w:p>
    <w:p>
      <w:pPr>
        <w:spacing w:before="5"/>
        <w:rPr/>
      </w:pPr>
      <w:r/>
    </w:p>
    <w:p>
      <w:pPr>
        <w:spacing w:before="5"/>
        <w:rPr/>
      </w:pPr>
      <w:r/>
    </w:p>
    <w:p>
      <w:pPr>
        <w:spacing w:before="5"/>
        <w:rPr/>
      </w:pPr>
      <w:r/>
    </w:p>
    <w:p>
      <w:pPr>
        <w:spacing w:before="5"/>
        <w:rPr/>
      </w:pPr>
      <w:r/>
    </w:p>
    <w:p>
      <w:pPr>
        <w:spacing w:before="5"/>
        <w:rPr/>
      </w:pPr>
      <w:r/>
    </w:p>
    <w:p>
      <w:pPr>
        <w:spacing w:before="5"/>
        <w:rPr/>
      </w:pPr>
      <w:r/>
    </w:p>
    <w:p>
      <w:pPr>
        <w:spacing w:before="5"/>
        <w:rPr/>
      </w:pPr>
      <w:r/>
    </w:p>
    <w:p>
      <w:pPr>
        <w:spacing w:before="5"/>
        <w:rPr/>
      </w:pPr>
      <w:r/>
    </w:p>
    <w:p>
      <w:pPr>
        <w:spacing w:before="5"/>
        <w:rPr/>
      </w:pPr>
      <w:r/>
    </w:p>
    <w:p>
      <w:pPr>
        <w:spacing w:before="5"/>
        <w:rPr/>
      </w:pPr>
      <w:r/>
    </w:p>
    <w:p>
      <w:pPr>
        <w:spacing w:before="5"/>
        <w:rPr/>
      </w:pPr>
      <w:r/>
    </w:p>
    <w:p>
      <w:pPr>
        <w:spacing w:before="5"/>
        <w:rPr/>
      </w:pPr>
      <w:r/>
    </w:p>
    <w:p>
      <w:pPr>
        <w:spacing w:before="5"/>
        <w:rPr/>
      </w:pPr>
      <w:r/>
    </w:p>
    <w:tbl>
      <w:tblPr>
        <w:tblStyle w:val="TableNormal"/>
        <w:tblW w:w="8798" w:type="dxa"/>
        <w:tblInd w:w="49" w:type="dxa"/>
        <w:tblLayout w:type="fixed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</w:tblPr>
      <w:tblGrid>
        <w:gridCol w:w="4677"/>
        <w:gridCol w:w="4121"/>
      </w:tblGrid>
      <w:tr>
        <w:trPr>
          <w:trHeight w:val="968" w:hRule="atLeast"/>
        </w:trPr>
        <w:tc>
          <w:tcPr>
            <w:tcW w:w="8798" w:type="dxa"/>
            <w:vAlign w:val="top"/>
            <w:gridSpan w:val="2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ind w:left="169"/>
              <w:spacing w:before="175" w:line="249" w:lineRule="auto"/>
              <w:rPr>
                <w:rFonts w:ascii="SimSun" w:hAnsi="SimSun" w:eastAsia="SimSun" w:cs="SimSun"/>
                <w:sz w:val="29"/>
                <w:szCs w:val="29"/>
              </w:rPr>
            </w:pPr>
            <w:r>
              <w:rPr>
                <w:rFonts w:ascii="SimSun" w:hAnsi="SimSun" w:eastAsia="SimSun" w:cs="SimSun"/>
                <w:sz w:val="29"/>
                <w:szCs w:val="29"/>
                <w:spacing w:val="-3"/>
              </w:rPr>
              <w:t>抄送：市公安局，市纪委监委第七监督检查室，市纪委监委派驻市商</w:t>
            </w:r>
            <w:r>
              <w:rPr>
                <w:rFonts w:ascii="SimSun" w:hAnsi="SimSun" w:eastAsia="SimSun" w:cs="SimSun"/>
                <w:sz w:val="29"/>
                <w:szCs w:val="29"/>
                <w:spacing w:val="17"/>
              </w:rPr>
              <w:t xml:space="preserve"> </w:t>
            </w:r>
            <w:r>
              <w:rPr>
                <w:rFonts w:ascii="SimSun" w:hAnsi="SimSun" w:eastAsia="SimSun" w:cs="SimSun"/>
                <w:sz w:val="29"/>
                <w:szCs w:val="29"/>
                <w:spacing w:val="1"/>
              </w:rPr>
              <w:t>务局纪检监察组</w:t>
            </w:r>
          </w:p>
        </w:tc>
      </w:tr>
      <w:tr>
        <w:trPr>
          <w:trHeight w:val="521" w:hRule="atLeast"/>
        </w:trPr>
        <w:tc>
          <w:tcPr>
            <w:tcW w:w="4677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ind w:left="280"/>
              <w:spacing w:before="127" w:line="219" w:lineRule="auto"/>
              <w:rPr>
                <w:rFonts w:ascii="SimSun" w:hAnsi="SimSun" w:eastAsia="SimSun" w:cs="SimSun"/>
                <w:sz w:val="29"/>
                <w:szCs w:val="29"/>
              </w:rPr>
            </w:pPr>
            <w:r>
              <w:rPr>
                <w:rFonts w:ascii="SimSun" w:hAnsi="SimSun" w:eastAsia="SimSun" w:cs="SimSun"/>
                <w:sz w:val="29"/>
                <w:szCs w:val="29"/>
                <w:spacing w:val="1"/>
              </w:rPr>
              <w:t>武汉市投资促进局办公室</w:t>
            </w:r>
          </w:p>
        </w:tc>
        <w:tc>
          <w:tcPr>
            <w:tcW w:w="4121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ind w:left="1302"/>
              <w:spacing w:before="129" w:line="219" w:lineRule="auto"/>
              <w:rPr>
                <w:rFonts w:ascii="SimSun" w:hAnsi="SimSun" w:eastAsia="SimSun" w:cs="SimSun"/>
                <w:sz w:val="29"/>
                <w:szCs w:val="29"/>
              </w:rPr>
            </w:pPr>
            <w:r>
              <w:rPr>
                <w:rFonts w:ascii="SimSun" w:hAnsi="SimSun" w:eastAsia="SimSun" w:cs="SimSun"/>
                <w:sz w:val="29"/>
                <w:szCs w:val="29"/>
              </w:rPr>
              <w:t>2026年8月28日印发</w:t>
            </w:r>
          </w:p>
        </w:tc>
      </w:tr>
    </w:tbl>
    <w:p>
      <w:pPr>
        <w:rPr>
          <w:rFonts w:ascii="Arial"/>
          <w:sz w:val="21"/>
        </w:rPr>
      </w:pPr>
      <w:r/>
    </w:p>
    <w:sectPr>
      <w:footerReference w:type="default" r:id="rId8"/>
      <w:pgSz w:w="11900" w:h="16820"/>
      <w:pgMar w:top="1429" w:right="1401" w:bottom="1114" w:left="1650" w:header="0" w:footer="79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FangSong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firstLine="49"/>
      <w:spacing w:line="50" w:lineRule="exact"/>
      <w:rPr/>
    </w:pPr>
    <w:r>
      <w:rPr>
        <w:position w:val="-1"/>
      </w:rPr>
      <w:drawing>
        <wp:inline distT="0" distB="0" distL="0" distR="0">
          <wp:extent cx="6089632" cy="31780"/>
          <wp:effectExtent l="0" t="0" r="0" b="0"/>
          <wp:docPr id="2" name="IM 2"/>
          <wp:cNvGraphicFramePr/>
          <a:graphic>
            <a:graphicData uri="http://schemas.openxmlformats.org/drawingml/2006/picture">
              <pic:pic>
                <pic:nvPicPr>
                  <pic:cNvPr id="2" name="IM 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6089632" cy="317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233" w:lineRule="auto"/>
      <w:rPr>
        <w:rFonts w:ascii="SimSun" w:hAnsi="SimSun" w:eastAsia="SimSun" w:cs="SimSun"/>
        <w:sz w:val="24"/>
        <w:szCs w:val="24"/>
      </w:rPr>
    </w:pPr>
    <w:r>
      <w:rPr>
        <w:rFonts w:ascii="SimSun" w:hAnsi="SimSun" w:eastAsia="SimSun" w:cs="SimSun"/>
        <w:sz w:val="24"/>
        <w:szCs w:val="24"/>
        <w:spacing w:val="-3"/>
      </w:rPr>
      <w:t>—2—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829"/>
      <w:spacing w:before="1" w:line="231" w:lineRule="auto"/>
      <w:rPr>
        <w:rFonts w:ascii="SimSun" w:hAnsi="SimSun" w:eastAsia="SimSun" w:cs="SimSun"/>
        <w:sz w:val="24"/>
        <w:szCs w:val="24"/>
      </w:rPr>
    </w:pPr>
    <w:r>
      <w:rPr>
        <w:rFonts w:ascii="SimSun" w:hAnsi="SimSun" w:eastAsia="SimSun" w:cs="SimSun"/>
        <w:sz w:val="24"/>
        <w:szCs w:val="24"/>
        <w:spacing w:val="-3"/>
      </w:rPr>
      <w:t>—3—</w:t>
    </w:r>
    <w:r>
      <w:rPr>
        <w:rFonts w:ascii="SimSun" w:hAnsi="SimSun" w:eastAsia="SimSun" w:cs="SimSun"/>
        <w:sz w:val="24"/>
        <w:szCs w:val="24"/>
        <w:spacing w:val="-33"/>
      </w:rPr>
      <w:t xml:space="preserve"> </w:t>
    </w:r>
    <w:r>
      <w:rPr>
        <w:rFonts w:ascii="SimSun" w:hAnsi="SimSun" w:eastAsia="SimSun" w:cs="SimSun"/>
        <w:sz w:val="24"/>
        <w:szCs w:val="24"/>
        <w:strike/>
      </w:rPr>
      <w:t xml:space="preserve">   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233" w:lineRule="auto"/>
      <w:rPr>
        <w:rFonts w:ascii="SimSun" w:hAnsi="SimSun" w:eastAsia="SimSun" w:cs="SimSun"/>
        <w:sz w:val="25"/>
        <w:szCs w:val="25"/>
      </w:rPr>
    </w:pPr>
    <w:r>
      <w:rPr>
        <w:rFonts w:ascii="SimSun" w:hAnsi="SimSun" w:eastAsia="SimSun" w:cs="SimSun"/>
        <w:sz w:val="25"/>
        <w:szCs w:val="25"/>
        <w:spacing w:val="-3"/>
      </w:rPr>
      <w:t>—4</w:t>
    </w:r>
    <w:r>
      <w:rPr>
        <w:rFonts w:ascii="SimSun" w:hAnsi="SimSun" w:eastAsia="SimSun" w:cs="SimSun"/>
        <w:sz w:val="25"/>
        <w:szCs w:val="25"/>
        <w:spacing w:val="36"/>
      </w:rPr>
      <w:t xml:space="preserve">  </w:t>
    </w:r>
    <w:r>
      <w:rPr>
        <w:rFonts w:ascii="SimSun" w:hAnsi="SimSun" w:eastAsia="SimSun" w:cs="SimSun"/>
        <w:sz w:val="25"/>
        <w:szCs w:val="25"/>
        <w:color w:val="103040"/>
        <w:spacing w:val="-3"/>
      </w:rPr>
      <w:t>—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829"/>
      <w:spacing w:line="231" w:lineRule="auto"/>
      <w:rPr>
        <w:rFonts w:ascii="SimSun" w:hAnsi="SimSun" w:eastAsia="SimSun" w:cs="SimSun"/>
        <w:sz w:val="23"/>
        <w:szCs w:val="23"/>
      </w:rPr>
    </w:pPr>
    <w:r>
      <w:rPr>
        <w:rFonts w:ascii="SimSun" w:hAnsi="SimSun" w:eastAsia="SimSun" w:cs="SimSun"/>
        <w:sz w:val="23"/>
        <w:szCs w:val="23"/>
        <w:spacing w:val="-3"/>
      </w:rPr>
      <w:t>—5—</w: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232" w:lineRule="auto"/>
      <w:rPr>
        <w:rFonts w:ascii="SimSun" w:hAnsi="SimSun" w:eastAsia="SimSun" w:cs="SimSun"/>
        <w:sz w:val="25"/>
        <w:szCs w:val="25"/>
      </w:rPr>
    </w:pPr>
    <w:r>
      <w:rPr>
        <w:rFonts w:ascii="SimSun" w:hAnsi="SimSun" w:eastAsia="SimSun" w:cs="SimSun"/>
        <w:sz w:val="25"/>
        <w:szCs w:val="25"/>
        <w:strike/>
        <w:spacing w:val="-3"/>
      </w:rPr>
      <w:t>—6</w:t>
    </w:r>
    <w:r>
      <w:rPr>
        <w:rFonts w:ascii="SimSun" w:hAnsi="SimSun" w:eastAsia="SimSun" w:cs="SimSun"/>
        <w:sz w:val="25"/>
        <w:szCs w:val="25"/>
        <w:spacing w:val="31"/>
      </w:rPr>
      <w:t xml:space="preserve">  </w:t>
    </w:r>
    <w:r>
      <w:rPr>
        <w:highlight w:val="black"/>
        <w:rFonts w:ascii="SimSun" w:hAnsi="SimSun" w:eastAsia="SimSun" w:cs="SimSun"/>
        <w:sz w:val="25"/>
        <w:szCs w:val="25"/>
        <w:color w:val="204060"/>
        <w:spacing w:val="-3"/>
      </w:rPr>
      <w:t>—</w:t>
    </w:r>
  </w:p>
</w:ft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FangSong" w:hAnsi="FangSong" w:eastAsia="FangSong" w:cs="FangSong"/>
      <w:sz w:val="33"/>
      <w:szCs w:val="33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settings" Target="settings.xml"/><Relationship Id="rId8" Type="http://schemas.openxmlformats.org/officeDocument/2006/relationships/footer" Target="footer6.xml"/><Relationship Id="rId7" Type="http://schemas.openxmlformats.org/officeDocument/2006/relationships/image" Target="media/image3.png"/><Relationship Id="rId6" Type="http://schemas.openxmlformats.org/officeDocument/2006/relationships/footer" Target="footer5.xml"/><Relationship Id="rId5" Type="http://schemas.openxmlformats.org/officeDocument/2006/relationships/footer" Target="footer4.xml"/><Relationship Id="rId4" Type="http://schemas.openxmlformats.org/officeDocument/2006/relationships/footer" Target="footer3.xml"/><Relationship Id="rId3" Type="http://schemas.openxmlformats.org/officeDocument/2006/relationships/footer" Target="footer2.xml"/><Relationship Id="rId2" Type="http://schemas.openxmlformats.org/officeDocument/2006/relationships/image" Target="media/image2.jpeg"/><Relationship Id="rId11" Type="http://schemas.openxmlformats.org/officeDocument/2006/relationships/fontTable" Target="fontTable.xml"/><Relationship Id="rId10" Type="http://schemas.openxmlformats.org/officeDocument/2006/relationships/styles" Target="styles.xml"/><Relationship Id="rId1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2026-08-31T09:44:38Z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2026-08-31T09:44:39</vt:filetime>
  </property>
  <property fmtid="{D5CDD505-2E9C-101B-9397-08002B2CF9AE}" pid="4" name="UsrData">
    <vt:lpwstr>6a94dc8453c8ea001fbc063fwl</vt:lpwstr>
  </property>
</Properties>
</file>