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tbl>
      <w:tblPr>
        <w:tblStyle w:val="TableNormal"/>
        <w:tblW w:w="7325" w:type="dxa"/>
        <w:tblInd w:w="2213" w:type="dxa"/>
        <w:tblLayout w:type="fixed"/>
        <w:tblBorders>
          <w:bottom w:val="single" w:color="000000" w:sz="12" w:space="0"/>
          <w:right w:val="single" w:color="000000" w:sz="4" w:space="0"/>
          <w:top w:val="single" w:color="000000" w:sz="12" w:space="0"/>
        </w:tblBorders>
      </w:tblPr>
      <w:tblGrid>
        <w:gridCol w:w="7325"/>
      </w:tblGrid>
      <w:tr>
        <w:trPr>
          <w:trHeight w:val="10250" w:hRule="atLeast"/>
        </w:trPr>
        <w:tc>
          <w:tcPr>
            <w:tcW w:w="7325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1495"/>
              <w:spacing w:before="228" w:line="219" w:lineRule="auto"/>
              <w:rPr>
                <w:rFonts w:ascii="SimSun" w:hAnsi="SimSun" w:eastAsia="SimSun" w:cs="SimSun"/>
                <w:sz w:val="70"/>
                <w:szCs w:val="70"/>
              </w:rPr>
            </w:pPr>
            <w:r>
              <w:rPr>
                <w:rFonts w:ascii="SimSun" w:hAnsi="SimSun" w:eastAsia="SimSun" w:cs="SimSun"/>
                <w:sz w:val="70"/>
                <w:szCs w:val="70"/>
                <w:b/>
                <w:bCs/>
                <w:color w:val="F04020"/>
                <w:spacing w:val="-39"/>
                <w:w w:val="61"/>
              </w:rPr>
              <w:t>湖北省人民政府办公厅文件</w:t>
            </w:r>
          </w:p>
          <w:p>
            <w:pPr>
              <w:spacing w:line="3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99"/>
              <w:spacing w:before="55" w:line="222" w:lineRule="auto"/>
              <w:rPr/>
            </w:pPr>
            <w:r>
              <w:rPr>
                <w:spacing w:val="1"/>
              </w:rPr>
              <w:t>鄂政办发〔2025〕</w:t>
            </w:r>
            <w:r>
              <w:rPr>
                <w:spacing w:val="1"/>
              </w:rPr>
              <w:t xml:space="preserve">  </w:t>
            </w:r>
            <w:r>
              <w:rPr>
                <w:spacing w:val="1"/>
              </w:rPr>
              <w:t>42号</w:t>
            </w:r>
          </w:p>
          <w:p>
            <w:pPr>
              <w:ind w:firstLine="1140"/>
              <w:spacing w:before="119" w:line="30" w:lineRule="exact"/>
              <w:rPr/>
            </w:pPr>
            <w:r>
              <w:rPr/>
              <w:drawing>
                <wp:inline distT="0" distB="0" distL="0" distR="0">
                  <wp:extent cx="3302015" cy="19058"/>
                  <wp:effectExtent l="0" t="0" r="0" b="0"/>
                  <wp:docPr id="2" name="IM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" name="IM 2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302015" cy="19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ind w:left="2233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4"/>
              </w:rPr>
              <w:t>湖北省人民政府办公厅关于</w:t>
            </w:r>
          </w:p>
          <w:p>
            <w:pPr>
              <w:ind w:left="1373"/>
              <w:spacing w:before="11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b/>
                <w:bCs/>
                <w:spacing w:val="4"/>
              </w:rPr>
              <w:t>加快推进绿色智能建造产业发展的实施意见</w:t>
            </w:r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0"/>
              <w:spacing w:before="56" w:line="222" w:lineRule="auto"/>
              <w:rPr/>
            </w:pPr>
            <w:r>
              <w:rPr>
                <w:spacing w:val="13"/>
              </w:rPr>
              <w:t>各市、州、县人民政府，省政府各部门：</w:t>
            </w:r>
          </w:p>
          <w:p>
            <w:pPr>
              <w:pStyle w:val="TableText"/>
              <w:ind w:left="1120" w:right="1008" w:firstLine="369"/>
              <w:spacing w:before="148" w:line="377" w:lineRule="auto"/>
              <w:jc w:val="both"/>
              <w:rPr/>
            </w:pPr>
            <w:r>
              <w:rPr>
                <w:spacing w:val="15"/>
              </w:rPr>
              <w:t>建筑业是湖北的重要支柱产业，有力支撑了全省城镇化建设</w:t>
            </w:r>
            <w:r>
              <w:rPr>
                <w:spacing w:val="10"/>
              </w:rPr>
              <w:t xml:space="preserve"> </w:t>
            </w:r>
            <w:r>
              <w:rPr>
                <w:spacing w:val="21"/>
              </w:rPr>
              <w:t>和经济社会发展。为深入贯彻落实中央城市工作会议精神和省</w:t>
            </w:r>
            <w:r>
              <w:rPr>
                <w:spacing w:val="9"/>
              </w:rPr>
              <w:t xml:space="preserve"> </w:t>
            </w:r>
            <w:r>
              <w:rPr>
                <w:spacing w:val="14"/>
              </w:rPr>
              <w:t>委、省政府工作要求，加快推进全省建筑业绿色智能转型和高质</w:t>
            </w:r>
            <w:r>
              <w:rPr>
                <w:spacing w:val="14"/>
              </w:rPr>
              <w:t xml:space="preserve"> </w:t>
            </w:r>
            <w:r>
              <w:rPr>
                <w:spacing w:val="13"/>
              </w:rPr>
              <w:t>量发展，经省政府同意，提出以下实施意见。</w:t>
            </w:r>
          </w:p>
          <w:p>
            <w:pPr>
              <w:ind w:left="1492"/>
              <w:spacing w:before="1" w:line="212" w:lineRule="auto"/>
              <w:outlineLvl w:val="4"/>
              <w:rPr>
                <w:rFonts w:ascii="SimHei" w:hAnsi="SimHei" w:eastAsia="SimHei" w:cs="SimHei"/>
                <w:sz w:val="17"/>
                <w:szCs w:val="17"/>
              </w:rPr>
            </w:pPr>
            <w:r>
              <w:rPr>
                <w:rFonts w:ascii="SimHei" w:hAnsi="SimHei" w:eastAsia="SimHei" w:cs="SimHei"/>
                <w:sz w:val="17"/>
                <w:szCs w:val="17"/>
                <w:b/>
                <w:bCs/>
                <w:spacing w:val="9"/>
              </w:rPr>
              <w:t>一</w:t>
            </w:r>
            <w:r>
              <w:rPr>
                <w:rFonts w:ascii="SimHei" w:hAnsi="SimHei" w:eastAsia="SimHei" w:cs="SimHei"/>
                <w:sz w:val="17"/>
                <w:szCs w:val="17"/>
                <w:spacing w:val="-9"/>
              </w:rPr>
              <w:t xml:space="preserve"> </w:t>
            </w:r>
            <w:r>
              <w:rPr>
                <w:rFonts w:ascii="SimHei" w:hAnsi="SimHei" w:eastAsia="SimHei" w:cs="SimHei"/>
                <w:sz w:val="17"/>
                <w:szCs w:val="17"/>
                <w:b/>
                <w:bCs/>
                <w:spacing w:val="9"/>
              </w:rPr>
              <w:t>、强化创新赋能，聚焦产业能级提升</w:t>
            </w:r>
          </w:p>
          <w:p>
            <w:pPr>
              <w:pStyle w:val="TableText"/>
              <w:ind w:left="1120" w:right="965" w:firstLine="372"/>
              <w:spacing w:before="158" w:line="368" w:lineRule="auto"/>
              <w:jc w:val="both"/>
              <w:rPr/>
            </w:pPr>
            <w:r>
              <w:rPr>
                <w:rFonts w:ascii="KaiTi" w:hAnsi="KaiTi" w:eastAsia="KaiTi" w:cs="KaiTi"/>
                <w:b/>
                <w:bCs/>
                <w:spacing w:val="12"/>
              </w:rPr>
              <w:t>(</w:t>
            </w:r>
            <w:r>
              <w:rPr>
                <w:rFonts w:ascii="KaiTi" w:hAnsi="KaiTi" w:eastAsia="KaiTi" w:cs="KaiTi"/>
                <w:spacing w:val="-26"/>
              </w:rPr>
              <w:t xml:space="preserve"> </w:t>
            </w:r>
            <w:r>
              <w:rPr>
                <w:rFonts w:ascii="KaiTi" w:hAnsi="KaiTi" w:eastAsia="KaiTi" w:cs="KaiTi"/>
                <w:b/>
                <w:bCs/>
                <w:spacing w:val="12"/>
              </w:rPr>
              <w:t>一</w:t>
            </w:r>
            <w:r>
              <w:rPr>
                <w:rFonts w:ascii="KaiTi" w:hAnsi="KaiTi" w:eastAsia="KaiTi" w:cs="KaiTi"/>
                <w:spacing w:val="-48"/>
              </w:rPr>
              <w:t xml:space="preserve"> </w:t>
            </w:r>
            <w:r>
              <w:rPr>
                <w:rFonts w:ascii="KaiTi" w:hAnsi="KaiTi" w:eastAsia="KaiTi" w:cs="KaiTi"/>
                <w:b/>
                <w:bCs/>
                <w:spacing w:val="12"/>
              </w:rPr>
              <w:t>)推动产业集聚发展。</w:t>
            </w:r>
            <w:r>
              <w:rPr>
                <w:spacing w:val="12"/>
              </w:rPr>
              <w:t>以现代工业理念改造传统建筑业，</w:t>
            </w:r>
            <w:r>
              <w:rPr/>
              <w:t xml:space="preserve"> </w:t>
            </w:r>
            <w:r>
              <w:rPr>
                <w:spacing w:val="14"/>
              </w:rPr>
              <w:t>坚持研发设计、建造工艺、建筑材料和运营模式的融合创新，以</w:t>
            </w:r>
            <w:r>
              <w:rPr>
                <w:spacing w:val="8"/>
              </w:rPr>
              <w:t xml:space="preserve">  </w:t>
            </w:r>
            <w:r>
              <w:rPr>
                <w:spacing w:val="14"/>
              </w:rPr>
              <w:t>智能建造赋能绿色创新发展。将绿色智能建造产业纳入地区“十</w:t>
            </w:r>
          </w:p>
          <w:p>
            <w:pPr>
              <w:ind w:left="5450"/>
              <w:spacing w:before="1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—1—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40" w:h="11910"/>
          <w:pgMar w:top="809" w:right="2526" w:bottom="0" w:left="2526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351" w:lineRule="auto"/>
        <w:rPr>
          <w:rFonts w:ascii="Arial"/>
          <w:sz w:val="21"/>
        </w:rPr>
      </w:pPr>
      <w:r/>
    </w:p>
    <w:p>
      <w:pPr>
        <w:spacing w:line="351" w:lineRule="auto"/>
        <w:rPr>
          <w:rFonts w:ascii="Arial"/>
          <w:sz w:val="21"/>
        </w:rPr>
      </w:pPr>
      <w:r/>
    </w:p>
    <w:p>
      <w:pPr>
        <w:pStyle w:val="BodyText"/>
        <w:ind w:left="3043" w:right="2939"/>
        <w:spacing w:before="62" w:line="367" w:lineRule="auto"/>
        <w:jc w:val="both"/>
        <w:rPr>
          <w:rFonts w:ascii="STXingkai" w:hAnsi="STXingkai" w:eastAsia="STXingkai" w:cs="STXingkai"/>
        </w:rPr>
      </w:pPr>
      <w:r>
        <w:rPr>
          <w:spacing w:val="14"/>
        </w:rPr>
        <w:t>五五”产业发展规划，扩大智能建造领域投资，积极发展工程软</w:t>
      </w:r>
      <w:r>
        <w:rPr>
          <w:spacing w:val="5"/>
        </w:rPr>
        <w:t xml:space="preserve">  </w:t>
      </w:r>
      <w:r>
        <w:rPr>
          <w:spacing w:val="14"/>
        </w:rPr>
        <w:t>件开发、高端装备制造、绿色建材研发应用和部品部件生产等配</w:t>
      </w:r>
      <w:r>
        <w:rPr>
          <w:spacing w:val="5"/>
        </w:rPr>
        <w:t xml:space="preserve">  </w:t>
      </w:r>
      <w:r>
        <w:rPr>
          <w:spacing w:val="14"/>
        </w:rPr>
        <w:t>套产业。统筹推进武汉、襄阳、宜昌“金三角”协同发展，因地</w:t>
      </w:r>
      <w:r>
        <w:rPr>
          <w:spacing w:val="5"/>
        </w:rPr>
        <w:t xml:space="preserve">  </w:t>
      </w:r>
      <w:r>
        <w:rPr>
          <w:spacing w:val="17"/>
        </w:rPr>
        <w:t>制宜培育打造产业集群。鼓励龙头骨干企业协同高校科研院所，</w:t>
      </w:r>
      <w:r>
        <w:rPr>
          <w:spacing w:val="7"/>
        </w:rPr>
        <w:t xml:space="preserve"> </w:t>
      </w:r>
      <w:r>
        <w:rPr>
          <w:spacing w:val="15"/>
        </w:rPr>
        <w:t>牵头建设绿色智能建造产业园、生产基地，配套建设检验检测中</w:t>
      </w:r>
      <w:r>
        <w:rPr/>
        <w:t xml:space="preserve"> </w:t>
      </w:r>
      <w:r>
        <w:rPr>
          <w:spacing w:val="15"/>
        </w:rPr>
        <w:t>心、中试基地、物流配送中心等产业服务设施，开展产品联合设</w:t>
      </w:r>
      <w:r>
        <w:rPr>
          <w:spacing w:val="2"/>
        </w:rPr>
        <w:t xml:space="preserve"> </w:t>
      </w:r>
      <w:r>
        <w:rPr>
          <w:spacing w:val="14"/>
        </w:rPr>
        <w:t>计研发、工艺创新和补链强链。力争到“十五五”末，全省绿色</w:t>
      </w:r>
      <w:r>
        <w:rPr>
          <w:spacing w:val="7"/>
        </w:rPr>
        <w:t xml:space="preserve">  </w:t>
      </w:r>
      <w:r>
        <w:rPr>
          <w:spacing w:val="14"/>
        </w:rPr>
        <w:t>智能建造产业能级、创新能力、发展水平、工程品质、绿色建筑</w:t>
      </w:r>
      <w:r>
        <w:rPr>
          <w:spacing w:val="6"/>
        </w:rPr>
        <w:t xml:space="preserve">  </w:t>
      </w:r>
      <w:r>
        <w:rPr>
          <w:spacing w:val="12"/>
        </w:rPr>
        <w:t>和超低能耗建筑数量全国领先。</w:t>
      </w:r>
      <w:r>
        <w:rPr>
          <w:spacing w:val="12"/>
        </w:rPr>
        <w:t xml:space="preserve"> </w:t>
      </w:r>
      <w:r>
        <w:rPr>
          <w:rFonts w:ascii="KaiTi" w:hAnsi="KaiTi" w:eastAsia="KaiTi" w:cs="KaiTi"/>
          <w:b/>
          <w:bCs/>
          <w:spacing w:val="12"/>
        </w:rPr>
        <w:t>(责任单位：省住建厅、省发改</w:t>
      </w:r>
      <w:r>
        <w:rPr>
          <w:rFonts w:ascii="KaiTi" w:hAnsi="KaiTi" w:eastAsia="KaiTi" w:cs="KaiTi"/>
          <w:spacing w:val="8"/>
        </w:rPr>
        <w:t xml:space="preserve">  </w:t>
      </w:r>
      <w:r>
        <w:rPr>
          <w:rFonts w:ascii="KaiTi" w:hAnsi="KaiTi" w:eastAsia="KaiTi" w:cs="KaiTi"/>
          <w:b/>
          <w:bCs/>
          <w:spacing w:val="13"/>
        </w:rPr>
        <w:t>委、省经信厅，各市州政府，以下均需各市州政府落实</w:t>
      </w:r>
      <w:r>
        <w:rPr>
          <w:rFonts w:ascii="KaiTi" w:hAnsi="KaiTi" w:eastAsia="KaiTi" w:cs="KaiTi"/>
          <w:b/>
          <w:bCs/>
          <w:spacing w:val="12"/>
        </w:rPr>
        <w:t>，不再一</w:t>
      </w:r>
      <w:r>
        <w:rPr>
          <w:rFonts w:ascii="KaiTi" w:hAnsi="KaiTi" w:eastAsia="KaiTi" w:cs="KaiTi"/>
        </w:rPr>
        <w:t xml:space="preserve">  </w:t>
      </w:r>
      <w:r>
        <w:rPr>
          <w:rFonts w:ascii="STXingkai" w:hAnsi="STXingkai" w:eastAsia="STXingkai" w:cs="STXingkai"/>
          <w:spacing w:val="3"/>
        </w:rPr>
        <w:t>一</w:t>
      </w:r>
      <w:r>
        <w:rPr>
          <w:rFonts w:ascii="STXingkai" w:hAnsi="STXingkai" w:eastAsia="STXingkai" w:cs="STXingkai"/>
          <w:spacing w:val="14"/>
        </w:rPr>
        <w:t xml:space="preserve"> </w:t>
      </w:r>
      <w:r>
        <w:rPr>
          <w:rFonts w:ascii="STXingkai" w:hAnsi="STXingkai" w:eastAsia="STXingkai" w:cs="STXingkai"/>
          <w:spacing w:val="3"/>
        </w:rPr>
        <w:t>列出)</w:t>
      </w:r>
    </w:p>
    <w:p>
      <w:pPr>
        <w:pStyle w:val="BodyText"/>
        <w:ind w:left="3043" w:right="2939" w:firstLine="412"/>
        <w:spacing w:before="96" w:line="377" w:lineRule="auto"/>
        <w:jc w:val="both"/>
        <w:rPr>
          <w:rFonts w:ascii="KaiTi" w:hAnsi="KaiTi" w:eastAsia="KaiTi" w:cs="KaiTi"/>
        </w:rPr>
      </w:pPr>
      <w:r>
        <w:rPr>
          <w:rFonts w:ascii="KaiTi" w:hAnsi="KaiTi" w:eastAsia="KaiTi" w:cs="KaiTi"/>
          <w:b/>
          <w:bCs/>
          <w:spacing w:val="17"/>
        </w:rPr>
        <w:t>(二)大力培育市场主体。</w:t>
      </w:r>
      <w:r>
        <w:rPr>
          <w:rFonts w:ascii="KaiTi" w:hAnsi="KaiTi" w:eastAsia="KaiTi" w:cs="KaiTi"/>
        </w:rPr>
        <w:t xml:space="preserve"> </w:t>
      </w:r>
      <w:r>
        <w:rPr>
          <w:spacing w:val="17"/>
        </w:rPr>
        <w:t>鼓励龙头企业转型，构建集研发</w:t>
      </w:r>
      <w:r>
        <w:rPr/>
        <w:t xml:space="preserve">  </w:t>
      </w:r>
      <w:r>
        <w:rPr>
          <w:spacing w:val="14"/>
        </w:rPr>
        <w:t>设计、部品部件生产、施工运维、咨询服务等业务于一体的全产</w:t>
      </w:r>
      <w:r>
        <w:rPr>
          <w:spacing w:val="16"/>
        </w:rPr>
        <w:t xml:space="preserve"> </w:t>
      </w:r>
      <w:r>
        <w:rPr>
          <w:spacing w:val="14"/>
        </w:rPr>
        <w:t>业链格局，打造绿色智能建造标杆项目，从工程承包商向绿色智</w:t>
      </w:r>
      <w:r>
        <w:rPr>
          <w:spacing w:val="1"/>
        </w:rPr>
        <w:t xml:space="preserve">  </w:t>
      </w:r>
      <w:r>
        <w:rPr>
          <w:spacing w:val="14"/>
        </w:rPr>
        <w:t>能建造整体方案供应商和城市综合服务运营商转变。梯次培育重</w:t>
      </w:r>
      <w:r>
        <w:rPr>
          <w:spacing w:val="7"/>
        </w:rPr>
        <w:t xml:space="preserve">  </w:t>
      </w:r>
      <w:r>
        <w:rPr>
          <w:spacing w:val="17"/>
        </w:rPr>
        <w:t>点企业，支持晋升高等级资质和增项行业资质，拓展业务领域，</w:t>
      </w:r>
      <w:r>
        <w:rPr>
          <w:spacing w:val="7"/>
        </w:rPr>
        <w:t xml:space="preserve"> </w:t>
      </w:r>
      <w:r>
        <w:rPr>
          <w:spacing w:val="15"/>
        </w:rPr>
        <w:t>打造一批技术实力强、市场占有率高的区域性骨干企业。引导中</w:t>
      </w:r>
      <w:r>
        <w:rPr/>
        <w:t xml:space="preserve"> </w:t>
      </w:r>
      <w:r>
        <w:rPr>
          <w:spacing w:val="22"/>
        </w:rPr>
        <w:t>小企业向专业承包细分赛道转型，鼓励开展细分领域的技术创</w:t>
      </w:r>
      <w:r>
        <w:rPr>
          <w:spacing w:val="8"/>
        </w:rPr>
        <w:t xml:space="preserve"> </w:t>
      </w:r>
      <w:r>
        <w:rPr>
          <w:spacing w:val="14"/>
        </w:rPr>
        <w:t>新，支持申报高新技术和专精特新及“小巨人”企业称号。积极</w:t>
      </w:r>
      <w:r>
        <w:rPr>
          <w:spacing w:val="5"/>
        </w:rPr>
        <w:t xml:space="preserve">  </w:t>
      </w:r>
      <w:r>
        <w:rPr>
          <w:spacing w:val="14"/>
        </w:rPr>
        <w:t>引进小型智能装备制造、高精度传感器、工业软件算</w:t>
      </w:r>
      <w:r>
        <w:rPr>
          <w:spacing w:val="13"/>
        </w:rPr>
        <w:t>法等领域的</w:t>
      </w:r>
      <w:r>
        <w:rPr/>
        <w:t xml:space="preserve">  </w:t>
      </w:r>
      <w:r>
        <w:rPr>
          <w:spacing w:val="13"/>
        </w:rPr>
        <w:t>优势企业与创新团队，培育本土配套企业。</w:t>
      </w:r>
      <w:r>
        <w:rPr>
          <w:spacing w:val="13"/>
        </w:rPr>
        <w:t xml:space="preserve"> </w:t>
      </w:r>
      <w:r>
        <w:rPr>
          <w:rFonts w:ascii="KaiTi" w:hAnsi="KaiTi" w:eastAsia="KaiTi" w:cs="KaiTi"/>
          <w:b/>
          <w:bCs/>
          <w:spacing w:val="13"/>
        </w:rPr>
        <w:t>(责任</w:t>
      </w:r>
      <w:r>
        <w:rPr>
          <w:rFonts w:ascii="KaiTi" w:hAnsi="KaiTi" w:eastAsia="KaiTi" w:cs="KaiTi"/>
          <w:b/>
          <w:bCs/>
          <w:spacing w:val="12"/>
        </w:rPr>
        <w:t>单位：省住建</w:t>
      </w:r>
      <w:r>
        <w:rPr>
          <w:rFonts w:ascii="KaiTi" w:hAnsi="KaiTi" w:eastAsia="KaiTi" w:cs="KaiTi"/>
        </w:rPr>
        <w:t xml:space="preserve">  </w:t>
      </w:r>
      <w:r>
        <w:rPr>
          <w:rFonts w:ascii="KaiTi" w:hAnsi="KaiTi" w:eastAsia="KaiTi" w:cs="KaiTi"/>
          <w:b/>
          <w:bCs/>
          <w:spacing w:val="14"/>
        </w:rPr>
        <w:t>厅、省科技厅、省经信厅、省交通运输厅、省水利厅)</w:t>
      </w:r>
    </w:p>
    <w:p>
      <w:pPr>
        <w:spacing w:line="377" w:lineRule="auto"/>
        <w:sectPr>
          <w:footerReference w:type="default" r:id="rId2"/>
          <w:pgSz w:w="16840" w:h="11910"/>
          <w:pgMar w:top="1012" w:right="2526" w:bottom="1580" w:left="2526" w:header="0" w:footer="1408" w:gutter="0"/>
        </w:sectPr>
        <w:rPr>
          <w:rFonts w:ascii="KaiTi" w:hAnsi="KaiTi" w:eastAsia="KaiTi" w:cs="KaiTi"/>
        </w:rPr>
      </w:pPr>
    </w:p>
    <w:p>
      <w:pPr>
        <w:spacing w:line="317" w:lineRule="auto"/>
        <w:rPr>
          <w:rFonts w:ascii="Arial"/>
          <w:sz w:val="21"/>
        </w:rPr>
      </w:pPr>
      <w:r/>
    </w:p>
    <w:p>
      <w:pPr>
        <w:spacing w:line="317" w:lineRule="auto"/>
        <w:rPr>
          <w:rFonts w:ascii="Arial"/>
          <w:sz w:val="21"/>
        </w:rPr>
      </w:pPr>
      <w:r/>
    </w:p>
    <w:p>
      <w:pPr>
        <w:pStyle w:val="BodyText"/>
        <w:ind w:left="3067" w:right="2741" w:firstLine="429"/>
        <w:spacing w:before="68" w:line="330" w:lineRule="auto"/>
        <w:rPr>
          <w:rFonts w:ascii="KaiTi" w:hAnsi="KaiTi" w:eastAsia="KaiTi" w:cs="KaiTi"/>
          <w:sz w:val="21"/>
          <w:szCs w:val="21"/>
        </w:rPr>
      </w:pPr>
      <w:r>
        <w:rPr>
          <w:rFonts w:ascii="KaiTi" w:hAnsi="KaiTi" w:eastAsia="KaiTi" w:cs="KaiTi"/>
          <w:sz w:val="21"/>
          <w:szCs w:val="21"/>
          <w:b/>
          <w:bCs/>
          <w:spacing w:val="1"/>
        </w:rPr>
        <w:t>(三)打造产业创新链。</w:t>
      </w:r>
      <w:r>
        <w:rPr>
          <w:sz w:val="21"/>
          <w:szCs w:val="21"/>
          <w:b/>
          <w:bCs/>
          <w:spacing w:val="1"/>
        </w:rPr>
        <w:t>充分应用大数据等新一代信息技术，</w:t>
      </w:r>
      <w:r>
        <w:rPr>
          <w:sz w:val="21"/>
          <w:szCs w:val="21"/>
          <w:spacing w:val="1"/>
        </w:rPr>
        <w:t xml:space="preserve"> </w:t>
      </w:r>
      <w:r>
        <w:rPr>
          <w:sz w:val="21"/>
          <w:szCs w:val="21"/>
          <w:b/>
          <w:bCs/>
          <w:spacing w:val="8"/>
        </w:rPr>
        <w:t>整合工程建设管理</w:t>
      </w:r>
      <w:r>
        <w:rPr>
          <w:sz w:val="21"/>
          <w:szCs w:val="21"/>
          <w:spacing w:val="-45"/>
        </w:rPr>
        <w:t xml:space="preserve"> </w:t>
      </w:r>
      <w:r>
        <w:rPr>
          <w:rFonts w:ascii="Times New Roman" w:hAnsi="Times New Roman" w:eastAsia="Times New Roman" w:cs="Times New Roman"/>
          <w:sz w:val="21"/>
          <w:szCs w:val="21"/>
          <w:b/>
          <w:bCs/>
        </w:rPr>
        <w:t>BIM</w:t>
      </w:r>
      <w:r>
        <w:rPr>
          <w:rFonts w:ascii="Times New Roman" w:hAnsi="Times New Roman" w:eastAsia="Times New Roman" w:cs="Times New Roman"/>
          <w:sz w:val="21"/>
          <w:szCs w:val="21"/>
          <w:b/>
          <w:bCs/>
          <w:spacing w:val="42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1"/>
          <w:szCs w:val="21"/>
          <w:b/>
          <w:bCs/>
          <w:spacing w:val="8"/>
        </w:rPr>
        <w:t>( </w:t>
      </w:r>
      <w:r>
        <w:rPr>
          <w:sz w:val="21"/>
          <w:szCs w:val="21"/>
          <w:b/>
          <w:bCs/>
          <w:spacing w:val="8"/>
        </w:rPr>
        <w:t>建筑信息模型)云平台，</w:t>
      </w:r>
      <w:r>
        <w:rPr>
          <w:sz w:val="21"/>
          <w:szCs w:val="21"/>
          <w:b/>
          <w:bCs/>
          <w:spacing w:val="7"/>
        </w:rPr>
        <w:t>统一标准规</w:t>
      </w:r>
      <w:r>
        <w:rPr>
          <w:sz w:val="21"/>
          <w:szCs w:val="21"/>
        </w:rPr>
        <w:t xml:space="preserve">  </w:t>
      </w:r>
      <w:r>
        <w:rPr>
          <w:sz w:val="21"/>
          <w:szCs w:val="21"/>
          <w:b/>
          <w:bCs/>
          <w:spacing w:val="-2"/>
        </w:rPr>
        <w:t>范，开放数据接口，形成集约高效、数据融合、互联互通的产业</w:t>
      </w:r>
      <w:r>
        <w:rPr>
          <w:sz w:val="21"/>
          <w:szCs w:val="21"/>
        </w:rPr>
        <w:t xml:space="preserve">  </w:t>
      </w:r>
      <w:r>
        <w:rPr>
          <w:sz w:val="21"/>
          <w:szCs w:val="21"/>
          <w:b/>
          <w:bCs/>
          <w:spacing w:val="-2"/>
        </w:rPr>
        <w:t>生态数字底座，打造绿色智能建造产业互联网。以国家数字建造</w:t>
      </w:r>
      <w:r>
        <w:rPr>
          <w:sz w:val="21"/>
          <w:szCs w:val="21"/>
          <w:spacing w:val="1"/>
        </w:rPr>
        <w:t xml:space="preserve">  </w:t>
      </w:r>
      <w:r>
        <w:rPr>
          <w:sz w:val="21"/>
          <w:szCs w:val="21"/>
          <w:b/>
          <w:bCs/>
          <w:spacing w:val="-3"/>
        </w:rPr>
        <w:t>技术创新中心为“母机”,发挥绿色智能建造产业协作联盟优势，</w:t>
      </w:r>
      <w:r>
        <w:rPr>
          <w:sz w:val="21"/>
          <w:szCs w:val="21"/>
          <w:spacing w:val="15"/>
        </w:rPr>
        <w:t xml:space="preserve"> </w:t>
      </w:r>
      <w:r>
        <w:rPr>
          <w:sz w:val="21"/>
          <w:szCs w:val="21"/>
          <w:b/>
          <w:bCs/>
          <w:spacing w:val="-2"/>
        </w:rPr>
        <w:t>坚持以需定创，聚焦生产需求推动科技创新。鼓励龙头企业</w:t>
      </w:r>
      <w:r>
        <w:rPr>
          <w:sz w:val="21"/>
          <w:szCs w:val="21"/>
          <w:b/>
          <w:bCs/>
          <w:spacing w:val="-3"/>
        </w:rPr>
        <w:t>联合</w:t>
      </w:r>
      <w:r>
        <w:rPr>
          <w:sz w:val="21"/>
          <w:szCs w:val="21"/>
        </w:rPr>
        <w:t xml:space="preserve">  </w:t>
      </w:r>
      <w:r>
        <w:rPr>
          <w:sz w:val="21"/>
          <w:szCs w:val="21"/>
          <w:b/>
          <w:bCs/>
          <w:spacing w:val="-2"/>
        </w:rPr>
        <w:t>高校共建一批国家和省级绿色智能建造实验室，构建多层次创新</w:t>
      </w:r>
      <w:r>
        <w:rPr>
          <w:sz w:val="21"/>
          <w:szCs w:val="21"/>
        </w:rPr>
        <w:t xml:space="preserve">  </w:t>
      </w:r>
      <w:r>
        <w:rPr>
          <w:sz w:val="21"/>
          <w:szCs w:val="21"/>
          <w:b/>
          <w:bCs/>
          <w:spacing w:val="1"/>
        </w:rPr>
        <w:t>体系，大力发展建筑科技交易市场，加大成果转化与推广应用。</w:t>
      </w:r>
      <w:r>
        <w:rPr>
          <w:sz w:val="21"/>
          <w:szCs w:val="21"/>
          <w:spacing w:val="8"/>
        </w:rPr>
        <w:t xml:space="preserve"> </w:t>
      </w:r>
      <w:r>
        <w:rPr>
          <w:rFonts w:ascii="KaiTi" w:hAnsi="KaiTi" w:eastAsia="KaiTi" w:cs="KaiTi"/>
          <w:sz w:val="21"/>
          <w:szCs w:val="21"/>
          <w:b/>
          <w:bCs/>
          <w:spacing w:val="1"/>
        </w:rPr>
        <w:t>(责任单位：省住建厅、省科技厅)</w:t>
      </w:r>
    </w:p>
    <w:p>
      <w:pPr>
        <w:pStyle w:val="BodyText"/>
        <w:ind w:left="3066" w:right="2751" w:firstLine="429"/>
        <w:spacing w:before="215" w:line="361" w:lineRule="auto"/>
        <w:rPr>
          <w:rFonts w:ascii="KaiTi" w:hAnsi="KaiTi" w:eastAsia="KaiTi" w:cs="KaiTi"/>
        </w:rPr>
      </w:pPr>
      <w:r>
        <w:rPr>
          <w:rFonts w:ascii="KaiTi" w:hAnsi="KaiTi" w:eastAsia="KaiTi" w:cs="KaiTi"/>
          <w:b/>
          <w:bCs/>
          <w:spacing w:val="20"/>
        </w:rPr>
        <w:t>(四)重构建造供应链。</w:t>
      </w:r>
      <w:r>
        <w:rPr>
          <w:rFonts w:ascii="KaiTi" w:hAnsi="KaiTi" w:eastAsia="KaiTi" w:cs="KaiTi"/>
          <w:spacing w:val="20"/>
        </w:rPr>
        <w:t xml:space="preserve"> </w:t>
      </w:r>
      <w:r>
        <w:rPr>
          <w:b/>
          <w:bCs/>
          <w:spacing w:val="20"/>
        </w:rPr>
        <w:t>强化建筑产品思维，以提供“标准</w:t>
      </w:r>
      <w:r>
        <w:rPr>
          <w:spacing w:val="9"/>
        </w:rPr>
        <w:t xml:space="preserve">  </w:t>
      </w:r>
      <w:r>
        <w:rPr>
          <w:b/>
          <w:bCs/>
          <w:spacing w:val="24"/>
        </w:rPr>
        <w:t>化产品+全流程服务”的系统解决方案为重点，加强绿色建材、</w:t>
      </w:r>
      <w:r>
        <w:rPr>
          <w:spacing w:val="15"/>
        </w:rPr>
        <w:t xml:space="preserve"> </w:t>
      </w:r>
      <w:r>
        <w:rPr>
          <w:b/>
          <w:bCs/>
          <w:spacing w:val="26"/>
        </w:rPr>
        <w:t>智能装备、人力资源、建造技术、资金和信息流等生产要素协</w:t>
      </w:r>
      <w:r>
        <w:rPr>
          <w:spacing w:val="1"/>
        </w:rPr>
        <w:t xml:space="preserve">  </w:t>
      </w:r>
      <w:r>
        <w:rPr>
          <w:b/>
          <w:bCs/>
          <w:spacing w:val="18"/>
        </w:rPr>
        <w:t>同，推动高水平供需对接。鼓励龙头企业通过专业分工、服务外</w:t>
      </w:r>
      <w:r>
        <w:rPr>
          <w:spacing w:val="3"/>
        </w:rPr>
        <w:t xml:space="preserve">  </w:t>
      </w:r>
      <w:r>
        <w:rPr>
          <w:b/>
          <w:bCs/>
          <w:spacing w:val="21"/>
        </w:rPr>
        <w:t>包、订单生产等方式带动上下游中小企业，构建链式发展格局。</w:t>
      </w:r>
      <w:r>
        <w:rPr>
          <w:spacing w:val="4"/>
        </w:rPr>
        <w:t xml:space="preserve"> </w:t>
      </w:r>
      <w:r>
        <w:rPr>
          <w:b/>
          <w:bCs/>
          <w:spacing w:val="17"/>
        </w:rPr>
        <w:t>打造线上“淘宝网”</w:t>
      </w:r>
      <w:r>
        <w:rPr>
          <w:spacing w:val="-49"/>
        </w:rPr>
        <w:t xml:space="preserve"> </w:t>
      </w:r>
      <w:r>
        <w:rPr>
          <w:b/>
          <w:bCs/>
          <w:spacing w:val="17"/>
        </w:rPr>
        <w:t>一绿色智能建造产业互联网平台和线下“广</w:t>
      </w:r>
      <w:r>
        <w:rPr/>
        <w:t xml:space="preserve">  </w:t>
      </w:r>
      <w:r>
        <w:rPr>
          <w:b/>
          <w:bCs/>
          <w:spacing w:val="8"/>
        </w:rPr>
        <w:t>交会”</w:t>
      </w:r>
      <w:r>
        <w:rPr>
          <w:spacing w:val="-37"/>
        </w:rPr>
        <w:t xml:space="preserve"> </w:t>
      </w:r>
      <w:r>
        <w:rPr>
          <w:b/>
          <w:bCs/>
          <w:spacing w:val="8"/>
        </w:rPr>
        <w:t>一</w:t>
      </w:r>
      <w:r>
        <w:rPr>
          <w:spacing w:val="-54"/>
        </w:rPr>
        <w:t xml:space="preserve"> </w:t>
      </w:r>
      <w:r>
        <w:rPr>
          <w:b/>
          <w:bCs/>
          <w:spacing w:val="8"/>
        </w:rPr>
        <w:t>绿色智能建造国际博览会相结合的交易平台。</w:t>
      </w:r>
      <w:r>
        <w:rPr>
          <w:spacing w:val="8"/>
        </w:rPr>
        <w:t xml:space="preserve"> </w:t>
      </w:r>
      <w:r>
        <w:rPr>
          <w:rFonts w:ascii="KaiTi" w:hAnsi="KaiTi" w:eastAsia="KaiTi" w:cs="KaiTi"/>
          <w:b/>
          <w:bCs/>
          <w:spacing w:val="8"/>
        </w:rPr>
        <w:t>(</w:t>
      </w:r>
      <w:r>
        <w:rPr>
          <w:rFonts w:ascii="KaiTi" w:hAnsi="KaiTi" w:eastAsia="KaiTi" w:cs="KaiTi"/>
          <w:spacing w:val="-31"/>
        </w:rPr>
        <w:t xml:space="preserve"> </w:t>
      </w:r>
      <w:r>
        <w:rPr>
          <w:rFonts w:ascii="KaiTi" w:hAnsi="KaiTi" w:eastAsia="KaiTi" w:cs="KaiTi"/>
          <w:b/>
          <w:bCs/>
          <w:spacing w:val="8"/>
        </w:rPr>
        <w:t>责</w:t>
      </w:r>
      <w:r>
        <w:rPr>
          <w:rFonts w:ascii="KaiTi" w:hAnsi="KaiTi" w:eastAsia="KaiTi" w:cs="KaiTi"/>
          <w:spacing w:val="-41"/>
        </w:rPr>
        <w:t xml:space="preserve"> </w:t>
      </w:r>
      <w:r>
        <w:rPr>
          <w:rFonts w:ascii="KaiTi" w:hAnsi="KaiTi" w:eastAsia="KaiTi" w:cs="KaiTi"/>
          <w:b/>
          <w:bCs/>
          <w:spacing w:val="8"/>
        </w:rPr>
        <w:t>任</w:t>
      </w:r>
      <w:r>
        <w:rPr>
          <w:rFonts w:ascii="KaiTi" w:hAnsi="KaiTi" w:eastAsia="KaiTi" w:cs="KaiTi"/>
          <w:spacing w:val="-31"/>
        </w:rPr>
        <w:t xml:space="preserve"> </w:t>
      </w:r>
      <w:r>
        <w:rPr>
          <w:rFonts w:ascii="KaiTi" w:hAnsi="KaiTi" w:eastAsia="KaiTi" w:cs="KaiTi"/>
          <w:b/>
          <w:bCs/>
          <w:spacing w:val="8"/>
        </w:rPr>
        <w:t>单</w:t>
      </w:r>
      <w:r>
        <w:rPr>
          <w:rFonts w:ascii="KaiTi" w:hAnsi="KaiTi" w:eastAsia="KaiTi" w:cs="KaiTi"/>
        </w:rPr>
        <w:t xml:space="preserve">  </w:t>
      </w:r>
      <w:r>
        <w:rPr>
          <w:rFonts w:ascii="KaiTi" w:hAnsi="KaiTi" w:eastAsia="KaiTi" w:cs="KaiTi"/>
          <w:b/>
          <w:bCs/>
          <w:spacing w:val="20"/>
        </w:rPr>
        <w:t>位：省住建厅、省经信厅、省数据局)</w:t>
      </w:r>
    </w:p>
    <w:p>
      <w:pPr>
        <w:pStyle w:val="BodyText"/>
        <w:ind w:left="3067" w:right="2830" w:firstLine="429"/>
        <w:spacing w:before="188" w:line="318" w:lineRule="auto"/>
        <w:rPr>
          <w:sz w:val="21"/>
          <w:szCs w:val="21"/>
        </w:rPr>
      </w:pPr>
      <w:r>
        <w:rPr>
          <w:rFonts w:ascii="KaiTi" w:hAnsi="KaiTi" w:eastAsia="KaiTi" w:cs="KaiTi"/>
          <w:sz w:val="21"/>
          <w:szCs w:val="21"/>
          <w:b/>
          <w:bCs/>
          <w:spacing w:val="6"/>
        </w:rPr>
        <w:t>(五)拓展国内国际市场。</w:t>
      </w:r>
      <w:r>
        <w:rPr>
          <w:sz w:val="21"/>
          <w:szCs w:val="21"/>
          <w:b/>
          <w:bCs/>
          <w:spacing w:val="6"/>
        </w:rPr>
        <w:t>发挥我省绿色智能建造</w:t>
      </w:r>
      <w:r>
        <w:rPr>
          <w:sz w:val="21"/>
          <w:szCs w:val="21"/>
          <w:b/>
          <w:bCs/>
          <w:spacing w:val="5"/>
        </w:rPr>
        <w:t>产业先发</w:t>
      </w:r>
      <w:r>
        <w:rPr>
          <w:sz w:val="21"/>
          <w:szCs w:val="21"/>
        </w:rPr>
        <w:t xml:space="preserve"> </w:t>
      </w:r>
      <w:r>
        <w:rPr>
          <w:sz w:val="21"/>
          <w:szCs w:val="21"/>
          <w:b/>
          <w:bCs/>
          <w:spacing w:val="2"/>
        </w:rPr>
        <w:t>优势，积极拓展国内市场。统筹推动“建筑业全链</w:t>
      </w:r>
      <w:r>
        <w:rPr>
          <w:sz w:val="21"/>
          <w:szCs w:val="21"/>
          <w:b/>
          <w:bCs/>
          <w:spacing w:val="1"/>
        </w:rPr>
        <w:t>条+优势制造</w:t>
      </w:r>
      <w:r>
        <w:rPr>
          <w:sz w:val="21"/>
          <w:szCs w:val="21"/>
        </w:rPr>
        <w:t xml:space="preserve"> </w:t>
      </w:r>
      <w:r>
        <w:rPr>
          <w:sz w:val="21"/>
          <w:szCs w:val="21"/>
          <w:b/>
          <w:bCs/>
          <w:spacing w:val="-3"/>
        </w:rPr>
        <w:t>业”产业集群抱团出海，拓展出海通道，扩大国际市场。依托在</w:t>
      </w:r>
      <w:r>
        <w:rPr>
          <w:sz w:val="21"/>
          <w:szCs w:val="21"/>
          <w:spacing w:val="7"/>
        </w:rPr>
        <w:t xml:space="preserve"> </w:t>
      </w:r>
      <w:r>
        <w:rPr>
          <w:sz w:val="21"/>
          <w:szCs w:val="21"/>
          <w:b/>
          <w:bCs/>
          <w:spacing w:val="-3"/>
        </w:rPr>
        <w:t>鄂央企优势，在非洲、东南亚、中亚、中东、拉丁美洲等优势区</w:t>
      </w:r>
      <w:r>
        <w:rPr>
          <w:sz w:val="21"/>
          <w:szCs w:val="21"/>
          <w:spacing w:val="7"/>
        </w:rPr>
        <w:t xml:space="preserve"> </w:t>
      </w:r>
      <w:r>
        <w:rPr>
          <w:sz w:val="21"/>
          <w:szCs w:val="21"/>
          <w:b/>
          <w:bCs/>
          <w:spacing w:val="-2"/>
        </w:rPr>
        <w:t>域设立服务工作站和绿色智能建造推广中心，系统推动“中国建</w:t>
      </w:r>
    </w:p>
    <w:p>
      <w:pPr>
        <w:spacing w:line="318" w:lineRule="auto"/>
        <w:sectPr>
          <w:footerReference w:type="default" r:id="rId3"/>
          <w:pgSz w:w="16840" w:h="11910"/>
          <w:pgMar w:top="1012" w:right="2526" w:bottom="1474" w:left="2526" w:header="0" w:footer="1241" w:gutter="0"/>
        </w:sectPr>
        <w:rPr>
          <w:sz w:val="21"/>
          <w:szCs w:val="21"/>
        </w:rPr>
      </w:pP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ind w:left="3014"/>
        <w:spacing w:before="65" w:line="221" w:lineRule="auto"/>
        <w:rPr>
          <w:sz w:val="20"/>
          <w:szCs w:val="20"/>
        </w:rPr>
      </w:pPr>
      <w:r>
        <w:rPr>
          <w:sz w:val="20"/>
          <w:szCs w:val="20"/>
          <w:spacing w:val="16"/>
        </w:rPr>
        <w:t>造”标准与“湖北建造”品牌向全球价值链高端攀升。(责任单</w:t>
      </w:r>
    </w:p>
    <w:p>
      <w:pPr>
        <w:ind w:left="3016"/>
        <w:spacing w:before="158" w:line="224" w:lineRule="auto"/>
        <w:rPr>
          <w:rFonts w:ascii="KaiTi" w:hAnsi="KaiTi" w:eastAsia="KaiTi" w:cs="KaiTi"/>
          <w:sz w:val="20"/>
          <w:szCs w:val="20"/>
        </w:rPr>
      </w:pPr>
      <w:r>
        <w:rPr>
          <w:rFonts w:ascii="KaiTi" w:hAnsi="KaiTi" w:eastAsia="KaiTi" w:cs="KaiTi"/>
          <w:sz w:val="20"/>
          <w:szCs w:val="20"/>
          <w:b/>
          <w:bCs/>
          <w:spacing w:val="11"/>
        </w:rPr>
        <w:t>位：省住建厅、省发改委、省经信厅、省商务厅、省委外办)</w:t>
      </w:r>
    </w:p>
    <w:p>
      <w:pPr>
        <w:ind w:left="3466"/>
        <w:spacing w:before="159" w:line="213" w:lineRule="auto"/>
        <w:outlineLvl w:val="4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b/>
          <w:bCs/>
          <w:spacing w:val="6"/>
        </w:rPr>
        <w:t>二</w:t>
      </w:r>
      <w:r>
        <w:rPr>
          <w:rFonts w:ascii="SimHei" w:hAnsi="SimHei" w:eastAsia="SimHei" w:cs="SimHei"/>
          <w:sz w:val="20"/>
          <w:szCs w:val="20"/>
          <w:spacing w:val="-38"/>
        </w:rPr>
        <w:t xml:space="preserve"> </w:t>
      </w:r>
      <w:r>
        <w:rPr>
          <w:rFonts w:ascii="SimHei" w:hAnsi="SimHei" w:eastAsia="SimHei" w:cs="SimHei"/>
          <w:sz w:val="20"/>
          <w:szCs w:val="20"/>
          <w:b/>
          <w:bCs/>
          <w:spacing w:val="6"/>
        </w:rPr>
        <w:t>、强化产业引导，激活市场需求</w:t>
      </w:r>
    </w:p>
    <w:p>
      <w:pPr>
        <w:pStyle w:val="BodyText"/>
        <w:ind w:left="3014" w:right="2718" w:firstLine="452"/>
        <w:spacing w:before="164" w:line="338" w:lineRule="auto"/>
        <w:rPr>
          <w:rFonts w:ascii="KaiTi" w:hAnsi="KaiTi" w:eastAsia="KaiTi" w:cs="KaiTi"/>
          <w:sz w:val="21"/>
          <w:szCs w:val="21"/>
        </w:rPr>
      </w:pPr>
      <w:r>
        <w:rPr>
          <w:rFonts w:ascii="KaiTi" w:hAnsi="KaiTi" w:eastAsia="KaiTi" w:cs="KaiTi"/>
          <w:sz w:val="21"/>
          <w:szCs w:val="21"/>
          <w:b/>
          <w:bCs/>
          <w:spacing w:val="11"/>
        </w:rPr>
        <w:t>(六)全面应用</w:t>
      </w:r>
      <w:r>
        <w:rPr>
          <w:rFonts w:ascii="Times New Roman" w:hAnsi="Times New Roman" w:eastAsia="Times New Roman" w:cs="Times New Roman"/>
          <w:sz w:val="21"/>
          <w:szCs w:val="21"/>
          <w:b/>
          <w:bCs/>
        </w:rPr>
        <w:t>BIM</w:t>
      </w:r>
      <w:r>
        <w:rPr>
          <w:rFonts w:ascii="Times New Roman" w:hAnsi="Times New Roman" w:eastAsia="Times New Roman" w:cs="Times New Roman"/>
          <w:sz w:val="21"/>
          <w:szCs w:val="21"/>
          <w:b/>
          <w:bCs/>
          <w:spacing w:val="11"/>
        </w:rPr>
        <w:t xml:space="preserve"> </w:t>
      </w:r>
      <w:r>
        <w:rPr>
          <w:rFonts w:ascii="KaiTi" w:hAnsi="KaiTi" w:eastAsia="KaiTi" w:cs="KaiTi"/>
          <w:sz w:val="21"/>
          <w:szCs w:val="21"/>
          <w:b/>
          <w:bCs/>
          <w:spacing w:val="11"/>
        </w:rPr>
        <w:t>技术。</w:t>
      </w:r>
      <w:r>
        <w:rPr>
          <w:sz w:val="21"/>
          <w:szCs w:val="21"/>
          <w:spacing w:val="11"/>
        </w:rPr>
        <w:t>深化工程建设领域数字化转型，</w:t>
      </w:r>
      <w:r>
        <w:rPr>
          <w:sz w:val="21"/>
          <w:szCs w:val="21"/>
          <w:spacing w:val="1"/>
        </w:rPr>
        <w:t xml:space="preserve"> </w:t>
      </w:r>
      <w:r>
        <w:rPr>
          <w:sz w:val="21"/>
          <w:szCs w:val="21"/>
          <w:spacing w:val="8"/>
        </w:rPr>
        <w:t>推进</w:t>
      </w:r>
      <w:r>
        <w:rPr>
          <w:rFonts w:ascii="Times New Roman" w:hAnsi="Times New Roman" w:eastAsia="Times New Roman" w:cs="Times New Roman"/>
          <w:sz w:val="21"/>
          <w:szCs w:val="21"/>
        </w:rPr>
        <w:t>BIM</w:t>
      </w:r>
      <w:r>
        <w:rPr>
          <w:rFonts w:ascii="Times New Roman" w:hAnsi="Times New Roman" w:eastAsia="Times New Roman" w:cs="Times New Roman"/>
          <w:sz w:val="21"/>
          <w:szCs w:val="21"/>
          <w:spacing w:val="43"/>
          <w:w w:val="101"/>
        </w:rPr>
        <w:t xml:space="preserve"> </w:t>
      </w:r>
      <w:r>
        <w:rPr>
          <w:sz w:val="21"/>
          <w:szCs w:val="21"/>
          <w:spacing w:val="8"/>
        </w:rPr>
        <w:t>技术全领域、全过程应用。全省新立项房屋建筑、市</w:t>
      </w:r>
      <w:r>
        <w:rPr>
          <w:sz w:val="21"/>
          <w:szCs w:val="21"/>
        </w:rPr>
        <w:t xml:space="preserve">  </w:t>
      </w:r>
      <w:r>
        <w:rPr>
          <w:sz w:val="21"/>
          <w:szCs w:val="21"/>
          <w:spacing w:val="8"/>
        </w:rPr>
        <w:t>政工程、国家高速公路、大型水利工程须采用</w:t>
      </w:r>
      <w:r>
        <w:rPr>
          <w:rFonts w:ascii="Times New Roman" w:hAnsi="Times New Roman" w:eastAsia="Times New Roman" w:cs="Times New Roman"/>
          <w:sz w:val="21"/>
          <w:szCs w:val="21"/>
        </w:rPr>
        <w:t>BIM</w:t>
      </w:r>
      <w:r>
        <w:rPr>
          <w:rFonts w:ascii="Times New Roman" w:hAnsi="Times New Roman" w:eastAsia="Times New Roman" w:cs="Times New Roman"/>
          <w:sz w:val="21"/>
          <w:szCs w:val="21"/>
          <w:spacing w:val="47"/>
          <w:w w:val="101"/>
        </w:rPr>
        <w:t xml:space="preserve"> </w:t>
      </w:r>
      <w:r>
        <w:rPr>
          <w:sz w:val="21"/>
          <w:szCs w:val="21"/>
          <w:spacing w:val="8"/>
        </w:rPr>
        <w:t>技术，鼓励</w:t>
      </w:r>
      <w:r>
        <w:rPr>
          <w:sz w:val="21"/>
          <w:szCs w:val="21"/>
        </w:rPr>
        <w:t xml:space="preserve">  </w:t>
      </w:r>
      <w:r>
        <w:rPr>
          <w:sz w:val="21"/>
          <w:szCs w:val="21"/>
          <w:spacing w:val="6"/>
        </w:rPr>
        <w:t>其他交通、水利等领域的工程项目积极应用</w:t>
      </w:r>
      <w:r>
        <w:rPr>
          <w:sz w:val="21"/>
          <w:szCs w:val="21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21"/>
          <w:szCs w:val="21"/>
        </w:rPr>
        <w:t>BIM</w:t>
      </w:r>
      <w:r>
        <w:rPr>
          <w:rFonts w:ascii="Times New Roman" w:hAnsi="Times New Roman" w:eastAsia="Times New Roman" w:cs="Times New Roman"/>
          <w:sz w:val="21"/>
          <w:szCs w:val="21"/>
          <w:spacing w:val="45"/>
        </w:rPr>
        <w:t xml:space="preserve"> </w:t>
      </w:r>
      <w:r>
        <w:rPr>
          <w:sz w:val="21"/>
          <w:szCs w:val="21"/>
          <w:spacing w:val="6"/>
        </w:rPr>
        <w:t>技术。推动设</w:t>
      </w:r>
      <w:r>
        <w:rPr>
          <w:sz w:val="21"/>
          <w:szCs w:val="21"/>
        </w:rPr>
        <w:t xml:space="preserve">  </w:t>
      </w:r>
      <w:r>
        <w:rPr>
          <w:sz w:val="21"/>
          <w:szCs w:val="21"/>
          <w:spacing w:val="2"/>
        </w:rPr>
        <w:t>计、生产、施工、运维各环节数据贯通，实现“一模到底、数字</w:t>
      </w:r>
      <w:r>
        <w:rPr>
          <w:sz w:val="21"/>
          <w:szCs w:val="21"/>
          <w:spacing w:val="7"/>
        </w:rPr>
        <w:t xml:space="preserve">  </w:t>
      </w:r>
      <w:r>
        <w:rPr>
          <w:sz w:val="21"/>
          <w:szCs w:val="21"/>
          <w:spacing w:val="-1"/>
        </w:rPr>
        <w:t>李生”。加快推进工程建设管理</w:t>
      </w:r>
      <w:r>
        <w:rPr>
          <w:sz w:val="21"/>
          <w:szCs w:val="21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21"/>
          <w:szCs w:val="21"/>
          <w:spacing w:val="-1"/>
        </w:rPr>
        <w:t>BIM</w:t>
      </w:r>
      <w:r>
        <w:rPr>
          <w:rFonts w:ascii="Times New Roman" w:hAnsi="Times New Roman" w:eastAsia="Times New Roman" w:cs="Times New Roman"/>
          <w:sz w:val="21"/>
          <w:szCs w:val="21"/>
          <w:spacing w:val="24"/>
          <w:w w:val="101"/>
        </w:rPr>
        <w:t xml:space="preserve"> </w:t>
      </w:r>
      <w:r>
        <w:rPr>
          <w:sz w:val="21"/>
          <w:szCs w:val="21"/>
          <w:spacing w:val="-1"/>
        </w:rPr>
        <w:t>云平</w:t>
      </w:r>
      <w:r>
        <w:rPr>
          <w:sz w:val="21"/>
          <w:szCs w:val="21"/>
          <w:spacing w:val="-2"/>
        </w:rPr>
        <w:t>台建设，房屋建筑和市</w:t>
      </w:r>
      <w:r>
        <w:rPr>
          <w:sz w:val="21"/>
          <w:szCs w:val="21"/>
        </w:rPr>
        <w:t xml:space="preserve">  </w:t>
      </w:r>
      <w:r>
        <w:rPr>
          <w:sz w:val="21"/>
          <w:szCs w:val="21"/>
          <w:spacing w:val="2"/>
        </w:rPr>
        <w:t>政工程的设计方案审查、施工图设计文件审查、竣工验收、档案</w:t>
      </w:r>
      <w:r>
        <w:rPr>
          <w:sz w:val="21"/>
          <w:szCs w:val="21"/>
          <w:spacing w:val="4"/>
        </w:rPr>
        <w:t xml:space="preserve">  </w:t>
      </w:r>
      <w:r>
        <w:rPr>
          <w:sz w:val="21"/>
          <w:szCs w:val="21"/>
          <w:spacing w:val="2"/>
        </w:rPr>
        <w:t>移交等各环节须提交</w:t>
      </w:r>
      <w:r>
        <w:rPr>
          <w:rFonts w:ascii="Times New Roman" w:hAnsi="Times New Roman" w:eastAsia="Times New Roman" w:cs="Times New Roman"/>
          <w:sz w:val="21"/>
          <w:szCs w:val="21"/>
        </w:rPr>
        <w:t>BIM</w:t>
      </w:r>
      <w:r>
        <w:rPr>
          <w:rFonts w:ascii="Times New Roman" w:hAnsi="Times New Roman" w:eastAsia="Times New Roman" w:cs="Times New Roman"/>
          <w:sz w:val="21"/>
          <w:szCs w:val="21"/>
          <w:spacing w:val="44"/>
          <w:w w:val="101"/>
        </w:rPr>
        <w:t xml:space="preserve"> </w:t>
      </w:r>
      <w:r>
        <w:rPr>
          <w:rFonts w:ascii="KaiTi" w:hAnsi="KaiTi" w:eastAsia="KaiTi" w:cs="KaiTi"/>
          <w:sz w:val="21"/>
          <w:szCs w:val="21"/>
          <w:b/>
          <w:bCs/>
          <w:spacing w:val="2"/>
        </w:rPr>
        <w:t>文件。(责任单位：省住建厅、省自然</w:t>
      </w:r>
      <w:r>
        <w:rPr>
          <w:rFonts w:ascii="KaiTi" w:hAnsi="KaiTi" w:eastAsia="KaiTi" w:cs="KaiTi"/>
          <w:sz w:val="21"/>
          <w:szCs w:val="21"/>
        </w:rPr>
        <w:t xml:space="preserve">  </w:t>
      </w:r>
      <w:r>
        <w:rPr>
          <w:rFonts w:ascii="KaiTi" w:hAnsi="KaiTi" w:eastAsia="KaiTi" w:cs="KaiTi"/>
          <w:sz w:val="21"/>
          <w:szCs w:val="21"/>
          <w:b/>
          <w:bCs/>
        </w:rPr>
        <w:t>资源厅、省交通运输厅、省水利厅、省数据局)</w:t>
      </w:r>
    </w:p>
    <w:p>
      <w:pPr>
        <w:pStyle w:val="BodyText"/>
        <w:ind w:left="3014" w:right="2738" w:firstLine="452"/>
        <w:spacing w:before="163" w:line="337" w:lineRule="auto"/>
        <w:rPr>
          <w:rFonts w:ascii="KaiTi" w:hAnsi="KaiTi" w:eastAsia="KaiTi" w:cs="KaiTi"/>
          <w:sz w:val="21"/>
          <w:szCs w:val="21"/>
        </w:rPr>
      </w:pPr>
      <w:r>
        <w:rPr>
          <w:rFonts w:ascii="KaiTi" w:hAnsi="KaiTi" w:eastAsia="KaiTi" w:cs="KaiTi"/>
          <w:sz w:val="21"/>
          <w:szCs w:val="21"/>
          <w:b/>
          <w:bCs/>
          <w:spacing w:val="4"/>
        </w:rPr>
        <w:t>(七)全面推行工程总承包。</w:t>
      </w:r>
      <w:r>
        <w:rPr>
          <w:rFonts w:ascii="KaiTi" w:hAnsi="KaiTi" w:eastAsia="KaiTi" w:cs="KaiTi"/>
          <w:sz w:val="21"/>
          <w:szCs w:val="21"/>
          <w:spacing w:val="4"/>
        </w:rPr>
        <w:t xml:space="preserve"> </w:t>
      </w:r>
      <w:r>
        <w:rPr>
          <w:sz w:val="21"/>
          <w:szCs w:val="21"/>
          <w:spacing w:val="4"/>
        </w:rPr>
        <w:t>政府投资的房屋建筑、市政工</w:t>
      </w:r>
      <w:r>
        <w:rPr>
          <w:sz w:val="21"/>
          <w:szCs w:val="21"/>
          <w:spacing w:val="18"/>
        </w:rPr>
        <w:t xml:space="preserve"> </w:t>
      </w:r>
      <w:r>
        <w:rPr>
          <w:sz w:val="21"/>
          <w:szCs w:val="21"/>
          <w:spacing w:val="2"/>
        </w:rPr>
        <w:t>程项目须采用工程总承包模式，加强设计、生产、施工各环节融</w:t>
      </w:r>
      <w:r>
        <w:rPr>
          <w:sz w:val="21"/>
          <w:szCs w:val="21"/>
          <w:spacing w:val="3"/>
        </w:rPr>
        <w:t xml:space="preserve">  </w:t>
      </w:r>
      <w:r>
        <w:rPr>
          <w:sz w:val="21"/>
          <w:szCs w:val="21"/>
          <w:spacing w:val="2"/>
        </w:rPr>
        <w:t>合，提高项目管理、技术创新和资源配置能力。工程总承包项目</w:t>
      </w:r>
      <w:r>
        <w:rPr>
          <w:sz w:val="21"/>
          <w:szCs w:val="21"/>
          <w:spacing w:val="18"/>
        </w:rPr>
        <w:t xml:space="preserve"> </w:t>
      </w:r>
      <w:r>
        <w:rPr>
          <w:sz w:val="21"/>
          <w:szCs w:val="21"/>
          <w:spacing w:val="2"/>
        </w:rPr>
        <w:t>采用总价合同，推行综合评标法，不得采用下浮率和模拟清单招</w:t>
      </w:r>
      <w:r>
        <w:rPr>
          <w:sz w:val="21"/>
          <w:szCs w:val="21"/>
          <w:spacing w:val="14"/>
        </w:rPr>
        <w:t xml:space="preserve"> </w:t>
      </w:r>
      <w:r>
        <w:rPr>
          <w:sz w:val="21"/>
          <w:szCs w:val="21"/>
          <w:spacing w:val="8"/>
        </w:rPr>
        <w:t>标。工程总承包单位承担</w:t>
      </w:r>
      <w:r>
        <w:rPr>
          <w:rFonts w:ascii="Times New Roman" w:hAnsi="Times New Roman" w:eastAsia="Times New Roman" w:cs="Times New Roman"/>
          <w:sz w:val="21"/>
          <w:szCs w:val="21"/>
        </w:rPr>
        <w:t>BIM</w:t>
      </w:r>
      <w:r>
        <w:rPr>
          <w:rFonts w:ascii="Times New Roman" w:hAnsi="Times New Roman" w:eastAsia="Times New Roman" w:cs="Times New Roman"/>
          <w:sz w:val="21"/>
          <w:szCs w:val="21"/>
          <w:spacing w:val="47"/>
        </w:rPr>
        <w:t xml:space="preserve"> </w:t>
      </w:r>
      <w:r>
        <w:rPr>
          <w:sz w:val="21"/>
          <w:szCs w:val="21"/>
          <w:spacing w:val="8"/>
        </w:rPr>
        <w:t>贯通与智能装备应用责任，通过</w:t>
      </w:r>
      <w:r>
        <w:rPr>
          <w:sz w:val="21"/>
          <w:szCs w:val="21"/>
        </w:rPr>
        <w:t xml:space="preserve">  </w:t>
      </w:r>
      <w:r>
        <w:rPr>
          <w:sz w:val="21"/>
          <w:szCs w:val="21"/>
          <w:spacing w:val="5"/>
        </w:rPr>
        <w:t>提高设计、建造和管理水平所节约的费用，作为企业合理利润。</w:t>
      </w:r>
      <w:r>
        <w:rPr>
          <w:sz w:val="21"/>
          <w:szCs w:val="21"/>
          <w:spacing w:val="14"/>
        </w:rPr>
        <w:t xml:space="preserve"> </w:t>
      </w:r>
      <w:r>
        <w:rPr>
          <w:sz w:val="21"/>
          <w:szCs w:val="21"/>
          <w:spacing w:val="10"/>
        </w:rPr>
        <w:t>探索运营模式创新，推动“工程总承包十运营投资”和“投建</w:t>
      </w:r>
      <w:r>
        <w:rPr>
          <w:sz w:val="21"/>
          <w:szCs w:val="21"/>
          <w:spacing w:val="1"/>
        </w:rPr>
        <w:t xml:space="preserve">  </w:t>
      </w:r>
      <w:r>
        <w:rPr>
          <w:sz w:val="21"/>
          <w:szCs w:val="21"/>
          <w:spacing w:val="3"/>
        </w:rPr>
        <w:t>营”</w:t>
      </w:r>
      <w:r>
        <w:rPr>
          <w:sz w:val="21"/>
          <w:szCs w:val="21"/>
          <w:spacing w:val="-69"/>
        </w:rPr>
        <w:t xml:space="preserve"> </w:t>
      </w:r>
      <w:r>
        <w:rPr>
          <w:sz w:val="21"/>
          <w:szCs w:val="21"/>
          <w:spacing w:val="3"/>
        </w:rPr>
        <w:t>一体化运营模式。</w:t>
      </w:r>
      <w:r>
        <w:rPr>
          <w:rFonts w:ascii="KaiTi" w:hAnsi="KaiTi" w:eastAsia="KaiTi" w:cs="KaiTi"/>
          <w:sz w:val="21"/>
          <w:szCs w:val="21"/>
          <w:b/>
          <w:bCs/>
          <w:spacing w:val="3"/>
        </w:rPr>
        <w:t>(责任单位：省住建厅、省发改委、省财</w:t>
      </w:r>
      <w:r>
        <w:rPr>
          <w:rFonts w:ascii="KaiTi" w:hAnsi="KaiTi" w:eastAsia="KaiTi" w:cs="KaiTi"/>
          <w:sz w:val="21"/>
          <w:szCs w:val="21"/>
        </w:rPr>
        <w:t xml:space="preserve">  </w:t>
      </w:r>
      <w:r>
        <w:rPr>
          <w:rFonts w:ascii="KaiTi" w:hAnsi="KaiTi" w:eastAsia="KaiTi" w:cs="KaiTi"/>
          <w:sz w:val="21"/>
          <w:szCs w:val="21"/>
          <w:b/>
          <w:bCs/>
          <w:spacing w:val="4"/>
        </w:rPr>
        <w:t>政厅、省审计厅)</w:t>
      </w:r>
    </w:p>
    <w:p>
      <w:pPr>
        <w:ind w:left="3466"/>
        <w:spacing w:before="193" w:line="220" w:lineRule="auto"/>
        <w:rPr>
          <w:rFonts w:ascii="KaiTi" w:hAnsi="KaiTi" w:eastAsia="KaiTi" w:cs="KaiTi"/>
          <w:sz w:val="20"/>
          <w:szCs w:val="20"/>
        </w:rPr>
      </w:pPr>
      <w:r>
        <w:rPr>
          <w:rFonts w:ascii="KaiTi" w:hAnsi="KaiTi" w:eastAsia="KaiTi" w:cs="KaiTi"/>
          <w:sz w:val="20"/>
          <w:szCs w:val="20"/>
          <w:b/>
          <w:bCs/>
          <w:spacing w:val="-3"/>
        </w:rPr>
        <w:t>(八)全面推广装配式建筑。</w:t>
      </w:r>
      <w:r>
        <w:rPr>
          <w:rFonts w:ascii="KaiTi" w:hAnsi="KaiTi" w:eastAsia="KaiTi" w:cs="KaiTi"/>
          <w:sz w:val="20"/>
          <w:szCs w:val="20"/>
          <w:spacing w:val="-3"/>
        </w:rPr>
        <w:t xml:space="preserve"> </w:t>
      </w:r>
      <w:r>
        <w:rPr>
          <w:rFonts w:ascii="KaiTi" w:hAnsi="KaiTi" w:eastAsia="KaiTi" w:cs="KaiTi"/>
          <w:sz w:val="20"/>
          <w:szCs w:val="20"/>
          <w:b/>
          <w:bCs/>
          <w:spacing w:val="-3"/>
        </w:rPr>
        <w:t>2</w:t>
      </w:r>
      <w:r>
        <w:rPr>
          <w:rFonts w:ascii="KaiTi" w:hAnsi="KaiTi" w:eastAsia="KaiTi" w:cs="KaiTi"/>
          <w:sz w:val="20"/>
          <w:szCs w:val="20"/>
          <w:spacing w:val="-45"/>
        </w:rPr>
        <w:t xml:space="preserve"> </w:t>
      </w:r>
      <w:r>
        <w:rPr>
          <w:rFonts w:ascii="KaiTi" w:hAnsi="KaiTi" w:eastAsia="KaiTi" w:cs="KaiTi"/>
          <w:sz w:val="20"/>
          <w:szCs w:val="20"/>
          <w:b/>
          <w:bCs/>
          <w:spacing w:val="-3"/>
        </w:rPr>
        <w:t>0</w:t>
      </w:r>
      <w:r>
        <w:rPr>
          <w:rFonts w:ascii="KaiTi" w:hAnsi="KaiTi" w:eastAsia="KaiTi" w:cs="KaiTi"/>
          <w:sz w:val="20"/>
          <w:szCs w:val="20"/>
          <w:spacing w:val="-45"/>
        </w:rPr>
        <w:t xml:space="preserve"> </w:t>
      </w:r>
      <w:r>
        <w:rPr>
          <w:rFonts w:ascii="KaiTi" w:hAnsi="KaiTi" w:eastAsia="KaiTi" w:cs="KaiTi"/>
          <w:sz w:val="20"/>
          <w:szCs w:val="20"/>
          <w:b/>
          <w:bCs/>
          <w:spacing w:val="-3"/>
        </w:rPr>
        <w:t>2</w:t>
      </w:r>
      <w:r>
        <w:rPr>
          <w:rFonts w:ascii="KaiTi" w:hAnsi="KaiTi" w:eastAsia="KaiTi" w:cs="KaiTi"/>
          <w:sz w:val="20"/>
          <w:szCs w:val="20"/>
          <w:spacing w:val="-44"/>
        </w:rPr>
        <w:t xml:space="preserve"> </w:t>
      </w:r>
      <w:r>
        <w:rPr>
          <w:rFonts w:ascii="KaiTi" w:hAnsi="KaiTi" w:eastAsia="KaiTi" w:cs="KaiTi"/>
          <w:sz w:val="20"/>
          <w:szCs w:val="20"/>
          <w:b/>
          <w:bCs/>
          <w:spacing w:val="-3"/>
        </w:rPr>
        <w:t>6</w:t>
      </w:r>
      <w:r>
        <w:rPr>
          <w:rFonts w:ascii="KaiTi" w:hAnsi="KaiTi" w:eastAsia="KaiTi" w:cs="KaiTi"/>
          <w:sz w:val="20"/>
          <w:szCs w:val="20"/>
          <w:spacing w:val="-42"/>
        </w:rPr>
        <w:t xml:space="preserve"> </w:t>
      </w:r>
      <w:r>
        <w:rPr>
          <w:rFonts w:ascii="KaiTi" w:hAnsi="KaiTi" w:eastAsia="KaiTi" w:cs="KaiTi"/>
          <w:sz w:val="20"/>
          <w:szCs w:val="20"/>
          <w:b/>
          <w:bCs/>
          <w:spacing w:val="-3"/>
        </w:rPr>
        <w:t>年</w:t>
      </w:r>
      <w:r>
        <w:rPr>
          <w:rFonts w:ascii="KaiTi" w:hAnsi="KaiTi" w:eastAsia="KaiTi" w:cs="KaiTi"/>
          <w:sz w:val="20"/>
          <w:szCs w:val="20"/>
          <w:spacing w:val="-33"/>
        </w:rPr>
        <w:t xml:space="preserve"> </w:t>
      </w:r>
      <w:r>
        <w:rPr>
          <w:rFonts w:ascii="KaiTi" w:hAnsi="KaiTi" w:eastAsia="KaiTi" w:cs="KaiTi"/>
          <w:sz w:val="20"/>
          <w:szCs w:val="20"/>
          <w:b/>
          <w:bCs/>
          <w:spacing w:val="-3"/>
        </w:rPr>
        <w:t>1</w:t>
      </w:r>
      <w:r>
        <w:rPr>
          <w:rFonts w:ascii="KaiTi" w:hAnsi="KaiTi" w:eastAsia="KaiTi" w:cs="KaiTi"/>
          <w:sz w:val="20"/>
          <w:szCs w:val="20"/>
          <w:spacing w:val="-33"/>
        </w:rPr>
        <w:t xml:space="preserve"> </w:t>
      </w:r>
      <w:r>
        <w:rPr>
          <w:rFonts w:ascii="KaiTi" w:hAnsi="KaiTi" w:eastAsia="KaiTi" w:cs="KaiTi"/>
          <w:sz w:val="20"/>
          <w:szCs w:val="20"/>
          <w:b/>
          <w:bCs/>
          <w:spacing w:val="-3"/>
        </w:rPr>
        <w:t>月</w:t>
      </w:r>
      <w:r>
        <w:rPr>
          <w:rFonts w:ascii="KaiTi" w:hAnsi="KaiTi" w:eastAsia="KaiTi" w:cs="KaiTi"/>
          <w:sz w:val="20"/>
          <w:szCs w:val="20"/>
          <w:spacing w:val="-33"/>
        </w:rPr>
        <w:t xml:space="preserve"> </w:t>
      </w:r>
      <w:r>
        <w:rPr>
          <w:rFonts w:ascii="KaiTi" w:hAnsi="KaiTi" w:eastAsia="KaiTi" w:cs="KaiTi"/>
          <w:sz w:val="20"/>
          <w:szCs w:val="20"/>
          <w:b/>
          <w:bCs/>
          <w:spacing w:val="-3"/>
        </w:rPr>
        <w:t>1</w:t>
      </w:r>
      <w:r>
        <w:rPr>
          <w:rFonts w:ascii="KaiTi" w:hAnsi="KaiTi" w:eastAsia="KaiTi" w:cs="KaiTi"/>
          <w:sz w:val="20"/>
          <w:szCs w:val="20"/>
          <w:spacing w:val="-3"/>
        </w:rPr>
        <w:t xml:space="preserve"> </w:t>
      </w:r>
      <w:r>
        <w:rPr>
          <w:rFonts w:ascii="KaiTi" w:hAnsi="KaiTi" w:eastAsia="KaiTi" w:cs="KaiTi"/>
          <w:sz w:val="20"/>
          <w:szCs w:val="20"/>
          <w:b/>
          <w:bCs/>
          <w:spacing w:val="-3"/>
        </w:rPr>
        <w:t>日</w:t>
      </w:r>
      <w:r>
        <w:rPr>
          <w:rFonts w:ascii="KaiTi" w:hAnsi="KaiTi" w:eastAsia="KaiTi" w:cs="KaiTi"/>
          <w:sz w:val="20"/>
          <w:szCs w:val="20"/>
          <w:spacing w:val="-48"/>
        </w:rPr>
        <w:t xml:space="preserve"> </w:t>
      </w:r>
      <w:r>
        <w:rPr>
          <w:rFonts w:ascii="KaiTi" w:hAnsi="KaiTi" w:eastAsia="KaiTi" w:cs="KaiTi"/>
          <w:sz w:val="20"/>
          <w:szCs w:val="20"/>
          <w:b/>
          <w:bCs/>
          <w:spacing w:val="-3"/>
        </w:rPr>
        <w:t>起</w:t>
      </w:r>
      <w:r>
        <w:rPr>
          <w:rFonts w:ascii="KaiTi" w:hAnsi="KaiTi" w:eastAsia="KaiTi" w:cs="KaiTi"/>
          <w:sz w:val="20"/>
          <w:szCs w:val="20"/>
          <w:spacing w:val="-52"/>
        </w:rPr>
        <w:t xml:space="preserve"> </w:t>
      </w:r>
      <w:r>
        <w:rPr>
          <w:rFonts w:ascii="KaiTi" w:hAnsi="KaiTi" w:eastAsia="KaiTi" w:cs="KaiTi"/>
          <w:sz w:val="20"/>
          <w:szCs w:val="20"/>
          <w:b/>
          <w:bCs/>
          <w:spacing w:val="-3"/>
        </w:rPr>
        <w:t>，</w:t>
      </w:r>
      <w:r>
        <w:rPr>
          <w:rFonts w:ascii="KaiTi" w:hAnsi="KaiTi" w:eastAsia="KaiTi" w:cs="KaiTi"/>
          <w:sz w:val="20"/>
          <w:szCs w:val="20"/>
          <w:spacing w:val="-3"/>
        </w:rPr>
        <w:t>将装配式</w:t>
      </w:r>
    </w:p>
    <w:p>
      <w:pPr>
        <w:spacing w:line="220" w:lineRule="auto"/>
        <w:sectPr>
          <w:footerReference w:type="default" r:id="rId4"/>
          <w:pgSz w:w="16840" w:h="11910"/>
          <w:pgMar w:top="1012" w:right="2526" w:bottom="1464" w:left="2526" w:header="0" w:footer="1229" w:gutter="0"/>
        </w:sectPr>
        <w:rPr>
          <w:rFonts w:ascii="KaiTi" w:hAnsi="KaiTi" w:eastAsia="KaiTi" w:cs="KaiTi"/>
          <w:sz w:val="20"/>
          <w:szCs w:val="20"/>
        </w:rPr>
      </w:pPr>
    </w:p>
    <w:p>
      <w:pPr>
        <w:spacing w:line="300" w:lineRule="auto"/>
        <w:rPr>
          <w:rFonts w:ascii="Arial"/>
          <w:sz w:val="21"/>
        </w:rPr>
      </w:pPr>
      <w:r/>
    </w:p>
    <w:p>
      <w:pPr>
        <w:spacing w:line="301" w:lineRule="auto"/>
        <w:rPr>
          <w:rFonts w:ascii="Arial"/>
          <w:sz w:val="21"/>
        </w:rPr>
      </w:pPr>
      <w:r/>
    </w:p>
    <w:p>
      <w:pPr>
        <w:pStyle w:val="BodyText"/>
        <w:ind w:left="3026" w:right="2767"/>
        <w:spacing w:before="71" w:line="338" w:lineRule="auto"/>
        <w:jc w:val="both"/>
        <w:rPr>
          <w:rFonts w:ascii="KaiTi" w:hAnsi="KaiTi" w:eastAsia="KaiTi" w:cs="KaiTi"/>
          <w:sz w:val="20"/>
          <w:szCs w:val="20"/>
        </w:rPr>
      </w:pPr>
      <w:r>
        <w:rPr>
          <w:sz w:val="22"/>
          <w:szCs w:val="22"/>
          <w:b/>
          <w:bCs/>
          <w:spacing w:val="-5"/>
        </w:rPr>
        <w:t>建筑要求纳入土地出让(划拨)条件，设区城市的中心城区与直</w:t>
      </w:r>
      <w:r>
        <w:rPr>
          <w:sz w:val="22"/>
          <w:szCs w:val="22"/>
          <w:spacing w:val="2"/>
        </w:rPr>
        <w:t xml:space="preserve">  </w:t>
      </w:r>
      <w:r>
        <w:rPr>
          <w:sz w:val="22"/>
          <w:szCs w:val="22"/>
          <w:b/>
          <w:bCs/>
        </w:rPr>
        <w:t>管市城区新建房屋建筑工程应100%实施装配式建筑；2028年1</w:t>
      </w:r>
      <w:r>
        <w:rPr>
          <w:sz w:val="22"/>
          <w:szCs w:val="22"/>
          <w:spacing w:val="2"/>
        </w:rPr>
        <w:t xml:space="preserve">  </w:t>
      </w:r>
      <w:r>
        <w:rPr>
          <w:sz w:val="22"/>
          <w:szCs w:val="22"/>
          <w:b/>
          <w:bCs/>
          <w:spacing w:val="-9"/>
        </w:rPr>
        <w:t>月1日起实施范围扩展至设区城市其他城区。装配式建筑要求纳</w:t>
      </w:r>
      <w:r>
        <w:rPr>
          <w:sz w:val="22"/>
          <w:szCs w:val="22"/>
          <w:spacing w:val="6"/>
        </w:rPr>
        <w:t xml:space="preserve">  </w:t>
      </w:r>
      <w:r>
        <w:rPr>
          <w:sz w:val="22"/>
          <w:szCs w:val="22"/>
          <w:b/>
          <w:bCs/>
          <w:spacing w:val="-13"/>
        </w:rPr>
        <w:t>入规划设计条件、设计文件审查、质量安全监督，并作为竣工验</w:t>
      </w:r>
      <w:r>
        <w:rPr>
          <w:sz w:val="22"/>
          <w:szCs w:val="22"/>
          <w:spacing w:val="2"/>
        </w:rPr>
        <w:t xml:space="preserve">  </w:t>
      </w:r>
      <w:r>
        <w:rPr>
          <w:sz w:val="22"/>
          <w:szCs w:val="22"/>
          <w:b/>
          <w:bCs/>
          <w:spacing w:val="-13"/>
        </w:rPr>
        <w:t>收重要内容。鼓励应用保温结构一体化预制外墙、集成厨房、整</w:t>
      </w:r>
      <w:r>
        <w:rPr>
          <w:sz w:val="22"/>
          <w:szCs w:val="22"/>
          <w:spacing w:val="3"/>
        </w:rPr>
        <w:t xml:space="preserve">  </w:t>
      </w:r>
      <w:r>
        <w:rPr>
          <w:sz w:val="22"/>
          <w:szCs w:val="22"/>
          <w:b/>
          <w:bCs/>
          <w:spacing w:val="-13"/>
        </w:rPr>
        <w:t>体卫浴等高效集成的部品部件。国有资金投资的市政工程应采用</w:t>
      </w:r>
      <w:r>
        <w:rPr>
          <w:sz w:val="22"/>
          <w:szCs w:val="22"/>
          <w:spacing w:val="5"/>
        </w:rPr>
        <w:t xml:space="preserve">  </w:t>
      </w:r>
      <w:r>
        <w:rPr>
          <w:sz w:val="22"/>
          <w:szCs w:val="22"/>
          <w:b/>
          <w:bCs/>
          <w:spacing w:val="-13"/>
        </w:rPr>
        <w:t>预制箱梁、墩柱、检查井、管片、箱涵等部品部件，逐步扩大应</w:t>
      </w:r>
      <w:r>
        <w:rPr>
          <w:sz w:val="22"/>
          <w:szCs w:val="22"/>
          <w:spacing w:val="7"/>
        </w:rPr>
        <w:t xml:space="preserve">  </w:t>
      </w:r>
      <w:r>
        <w:rPr>
          <w:sz w:val="22"/>
          <w:szCs w:val="22"/>
          <w:b/>
          <w:bCs/>
          <w:spacing w:val="-12"/>
        </w:rPr>
        <w:t>用范围。鼓励工业建筑和交通、水利、能源等工程项目积极应用</w:t>
      </w:r>
      <w:r>
        <w:rPr>
          <w:sz w:val="22"/>
          <w:szCs w:val="22"/>
          <w:spacing w:val="1"/>
        </w:rPr>
        <w:t xml:space="preserve">  </w:t>
      </w:r>
      <w:r>
        <w:rPr>
          <w:sz w:val="22"/>
          <w:szCs w:val="22"/>
          <w:b/>
          <w:bCs/>
          <w:spacing w:val="-8"/>
        </w:rPr>
        <w:t>装配式部品部件。新建和改造的居住建筑、酒</w:t>
      </w:r>
      <w:r>
        <w:rPr>
          <w:sz w:val="22"/>
          <w:szCs w:val="22"/>
          <w:b/>
          <w:bCs/>
          <w:spacing w:val="-9"/>
        </w:rPr>
        <w:t>店、商超、学校、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b/>
          <w:bCs/>
          <w:spacing w:val="-13"/>
        </w:rPr>
        <w:t>医院等项目应采用装配式装修。鼓励研发应用建筑工业化新型结</w:t>
      </w:r>
      <w:r>
        <w:rPr>
          <w:sz w:val="22"/>
          <w:szCs w:val="22"/>
          <w:spacing w:val="6"/>
        </w:rPr>
        <w:t xml:space="preserve">  </w:t>
      </w:r>
      <w:r>
        <w:rPr>
          <w:sz w:val="22"/>
          <w:szCs w:val="22"/>
          <w:b/>
          <w:bCs/>
          <w:spacing w:val="-9"/>
        </w:rPr>
        <w:t>构体系和部品部件连接安装新技术，试点推广模块化建筑。(责</w:t>
      </w:r>
      <w:r>
        <w:rPr>
          <w:sz w:val="22"/>
          <w:szCs w:val="22"/>
          <w:spacing w:val="4"/>
        </w:rPr>
        <w:t xml:space="preserve">  </w:t>
      </w:r>
      <w:r>
        <w:rPr>
          <w:rFonts w:ascii="KaiTi" w:hAnsi="KaiTi" w:eastAsia="KaiTi" w:cs="KaiTi"/>
          <w:sz w:val="22"/>
          <w:szCs w:val="22"/>
          <w:b/>
          <w:bCs/>
          <w:spacing w:val="-8"/>
        </w:rPr>
        <w:t>任单位：省住建厅、省自然资源厅、省发改委</w:t>
      </w:r>
      <w:r>
        <w:rPr>
          <w:rFonts w:ascii="KaiTi" w:hAnsi="KaiTi" w:eastAsia="KaiTi" w:cs="KaiTi"/>
          <w:sz w:val="22"/>
          <w:szCs w:val="22"/>
          <w:b/>
          <w:bCs/>
          <w:spacing w:val="-9"/>
        </w:rPr>
        <w:t>、省交通运输厅、</w:t>
      </w:r>
      <w:r>
        <w:rPr>
          <w:rFonts w:ascii="KaiTi" w:hAnsi="KaiTi" w:eastAsia="KaiTi" w:cs="KaiTi"/>
          <w:sz w:val="22"/>
          <w:szCs w:val="22"/>
        </w:rPr>
        <w:t xml:space="preserve"> </w:t>
      </w:r>
      <w:r>
        <w:rPr>
          <w:rFonts w:ascii="KaiTi" w:hAnsi="KaiTi" w:eastAsia="KaiTi" w:cs="KaiTi"/>
          <w:sz w:val="20"/>
          <w:szCs w:val="20"/>
          <w:b/>
          <w:bCs/>
          <w:spacing w:val="14"/>
        </w:rPr>
        <w:t>省水利厅)</w:t>
      </w:r>
    </w:p>
    <w:p>
      <w:pPr>
        <w:ind w:left="3456"/>
        <w:spacing w:before="26" w:line="213" w:lineRule="auto"/>
        <w:outlineLvl w:val="4"/>
        <w:rPr>
          <w:rFonts w:ascii="SimHei" w:hAnsi="SimHei" w:eastAsia="SimHei" w:cs="Sim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b/>
          <w:bCs/>
          <w:spacing w:val="13"/>
        </w:rPr>
        <w:t>三</w:t>
      </w:r>
      <w:r>
        <w:rPr>
          <w:rFonts w:ascii="SimHei" w:hAnsi="SimHei" w:eastAsia="SimHei" w:cs="SimHei"/>
          <w:sz w:val="19"/>
          <w:szCs w:val="19"/>
          <w:spacing w:val="-21"/>
        </w:rPr>
        <w:t xml:space="preserve"> </w:t>
      </w:r>
      <w:r>
        <w:rPr>
          <w:rFonts w:ascii="SimHei" w:hAnsi="SimHei" w:eastAsia="SimHei" w:cs="SimHei"/>
          <w:sz w:val="19"/>
          <w:szCs w:val="19"/>
          <w:b/>
          <w:bCs/>
          <w:spacing w:val="13"/>
        </w:rPr>
        <w:t>、重构建造方式，优化绿色供给</w:t>
      </w:r>
    </w:p>
    <w:p>
      <w:pPr>
        <w:pStyle w:val="BodyText"/>
        <w:ind w:left="3026" w:right="2855" w:firstLine="440"/>
        <w:spacing w:before="158" w:line="335" w:lineRule="auto"/>
        <w:jc w:val="both"/>
        <w:rPr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b/>
          <w:bCs/>
          <w:spacing w:val="-4"/>
        </w:rPr>
        <w:t>(九)加强数字勘察设计。</w:t>
      </w:r>
      <w:r>
        <w:rPr>
          <w:sz w:val="22"/>
          <w:szCs w:val="22"/>
          <w:b/>
          <w:bCs/>
          <w:spacing w:val="-4"/>
        </w:rPr>
        <w:t>建立数字设计体系，构建基于模</w:t>
      </w:r>
      <w:r>
        <w:rPr>
          <w:sz w:val="22"/>
          <w:szCs w:val="22"/>
          <w:spacing w:val="8"/>
        </w:rPr>
        <w:t xml:space="preserve"> </w:t>
      </w:r>
      <w:r>
        <w:rPr>
          <w:sz w:val="22"/>
          <w:szCs w:val="22"/>
          <w:b/>
          <w:bCs/>
          <w:spacing w:val="-13"/>
        </w:rPr>
        <w:t>数化、标准化、集成化和供应链的正向设计、协同设计流程，完</w:t>
      </w:r>
      <w:r>
        <w:rPr>
          <w:sz w:val="22"/>
          <w:szCs w:val="22"/>
          <w:spacing w:val="15"/>
        </w:rPr>
        <w:t xml:space="preserve"> </w:t>
      </w:r>
      <w:r>
        <w:rPr>
          <w:sz w:val="22"/>
          <w:szCs w:val="22"/>
          <w:b/>
          <w:bCs/>
          <w:spacing w:val="-13"/>
        </w:rPr>
        <w:t>善技术标准，丰富部品部件库，加强不同专业协同，开展面向制</w:t>
      </w:r>
      <w:r>
        <w:rPr>
          <w:sz w:val="22"/>
          <w:szCs w:val="22"/>
          <w:spacing w:val="18"/>
        </w:rPr>
        <w:t xml:space="preserve"> </w:t>
      </w:r>
      <w:r>
        <w:rPr>
          <w:sz w:val="22"/>
          <w:szCs w:val="22"/>
          <w:b/>
          <w:bCs/>
          <w:spacing w:val="-3"/>
        </w:rPr>
        <w:t>造和装配的设计。推广数字勘察，推行基于</w:t>
      </w: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-3"/>
        </w:rPr>
        <w:t>GIS  (</w:t>
      </w: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25"/>
        </w:rPr>
        <w:t xml:space="preserve"> </w:t>
      </w:r>
      <w:r>
        <w:rPr>
          <w:sz w:val="22"/>
          <w:szCs w:val="22"/>
          <w:b/>
          <w:bCs/>
          <w:spacing w:val="-3"/>
        </w:rPr>
        <w:t>地理信息系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b/>
          <w:bCs/>
          <w:spacing w:val="-8"/>
        </w:rPr>
        <w:t>统)和外业采集设备联合的一体化勘察技术。制定装配式设计深</w:t>
      </w:r>
      <w:r>
        <w:rPr>
          <w:sz w:val="22"/>
          <w:szCs w:val="22"/>
          <w:spacing w:val="5"/>
        </w:rPr>
        <w:t xml:space="preserve"> </w:t>
      </w:r>
      <w:r>
        <w:rPr>
          <w:sz w:val="22"/>
          <w:szCs w:val="22"/>
          <w:b/>
          <w:bCs/>
          <w:spacing w:val="-13"/>
        </w:rPr>
        <w:t>度规定，确保设计深度符合生产、施工和运维要求。统一数据接</w:t>
      </w:r>
      <w:r>
        <w:rPr>
          <w:sz w:val="22"/>
          <w:szCs w:val="22"/>
          <w:spacing w:val="5"/>
        </w:rPr>
        <w:t xml:space="preserve"> </w:t>
      </w:r>
      <w:r>
        <w:rPr>
          <w:sz w:val="22"/>
          <w:szCs w:val="22"/>
          <w:b/>
          <w:bCs/>
          <w:spacing w:val="-8"/>
        </w:rPr>
        <w:t>口，提高设计成果复用率。深化智能设计工具应用，探索</w:t>
      </w: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-8"/>
        </w:rPr>
        <w:t>AI</w:t>
      </w: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-9"/>
        </w:rPr>
        <w:t xml:space="preserve"> </w:t>
      </w:r>
      <w:r>
        <w:rPr>
          <w:sz w:val="22"/>
          <w:szCs w:val="22"/>
          <w:b/>
          <w:bCs/>
          <w:spacing w:val="-9"/>
        </w:rPr>
        <w:t>辅</w:t>
      </w:r>
      <w:r>
        <w:rPr>
          <w:sz w:val="22"/>
          <w:szCs w:val="22"/>
        </w:rPr>
        <w:t xml:space="preserve">  </w:t>
      </w:r>
      <w:r>
        <w:rPr>
          <w:sz w:val="22"/>
          <w:szCs w:val="22"/>
          <w:b/>
          <w:bCs/>
          <w:spacing w:val="-13"/>
        </w:rPr>
        <w:t>助设计和设计文件审查。引导勘察设计企业和传统工程咨询企业</w:t>
      </w:r>
    </w:p>
    <w:p>
      <w:pPr>
        <w:spacing w:line="335" w:lineRule="auto"/>
        <w:sectPr>
          <w:footerReference w:type="default" r:id="rId5"/>
          <w:pgSz w:w="16840" w:h="11910"/>
          <w:pgMar w:top="1012" w:right="2526" w:bottom="1413" w:left="2526" w:header="0" w:footer="1166" w:gutter="0"/>
        </w:sectPr>
        <w:rPr>
          <w:sz w:val="22"/>
          <w:szCs w:val="22"/>
        </w:rPr>
      </w:pPr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pStyle w:val="BodyText"/>
        <w:ind w:left="2893"/>
        <w:spacing w:before="65" w:line="219" w:lineRule="auto"/>
        <w:rPr>
          <w:sz w:val="20"/>
          <w:szCs w:val="20"/>
        </w:rPr>
      </w:pPr>
      <w:r>
        <w:rPr>
          <w:sz w:val="20"/>
          <w:szCs w:val="20"/>
          <w:spacing w:val="16"/>
        </w:rPr>
        <w:t>由专业技术供应商加快向全过程工程咨询服务商绿色转型。(责</w:t>
      </w:r>
    </w:p>
    <w:p>
      <w:pPr>
        <w:ind w:left="2896"/>
        <w:spacing w:before="181" w:line="223" w:lineRule="auto"/>
        <w:rPr>
          <w:rFonts w:ascii="KaiTi" w:hAnsi="KaiTi" w:eastAsia="KaiTi" w:cs="KaiTi"/>
          <w:sz w:val="20"/>
          <w:szCs w:val="20"/>
        </w:rPr>
      </w:pPr>
      <w:r>
        <w:rPr>
          <w:rFonts w:ascii="KaiTi" w:hAnsi="KaiTi" w:eastAsia="KaiTi" w:cs="KaiTi"/>
          <w:sz w:val="20"/>
          <w:szCs w:val="20"/>
          <w:b/>
          <w:bCs/>
          <w:spacing w:val="11"/>
        </w:rPr>
        <w:t>任单位：省住建厅、省经信厅、省市场监管局)</w:t>
      </w:r>
    </w:p>
    <w:p>
      <w:pPr>
        <w:pStyle w:val="BodyText"/>
        <w:ind w:left="2893" w:right="2861" w:firstLine="443"/>
        <w:spacing w:before="146" w:line="326" w:lineRule="auto"/>
        <w:rPr>
          <w:rFonts w:ascii="KaiTi" w:hAnsi="KaiTi" w:eastAsia="KaiTi" w:cs="KaiTi"/>
          <w:sz w:val="21"/>
          <w:szCs w:val="21"/>
        </w:rPr>
      </w:pPr>
      <w:r>
        <w:rPr>
          <w:rFonts w:ascii="KaiTi" w:hAnsi="KaiTi" w:eastAsia="KaiTi" w:cs="KaiTi"/>
          <w:sz w:val="21"/>
          <w:szCs w:val="21"/>
          <w:b/>
          <w:bCs/>
          <w:spacing w:val="5"/>
        </w:rPr>
        <w:t>(十)优化升级智能生产。</w:t>
      </w:r>
      <w:r>
        <w:rPr>
          <w:rFonts w:ascii="KaiTi" w:hAnsi="KaiTi" w:eastAsia="KaiTi" w:cs="KaiTi"/>
          <w:sz w:val="21"/>
          <w:szCs w:val="21"/>
          <w:spacing w:val="5"/>
        </w:rPr>
        <w:t xml:space="preserve"> </w:t>
      </w:r>
      <w:r>
        <w:rPr>
          <w:sz w:val="21"/>
          <w:szCs w:val="21"/>
          <w:spacing w:val="5"/>
        </w:rPr>
        <w:t>将设计数据智能解析为生产制造</w:t>
      </w:r>
      <w:r>
        <w:rPr>
          <w:sz w:val="21"/>
          <w:szCs w:val="21"/>
          <w:spacing w:val="14"/>
        </w:rPr>
        <w:t xml:space="preserve"> </w:t>
      </w:r>
      <w:r>
        <w:rPr>
          <w:sz w:val="21"/>
          <w:szCs w:val="21"/>
          <w:spacing w:val="2"/>
        </w:rPr>
        <w:t>数据，实现数据驱动生产。构建数字化生产管理体系，覆盖从原</w:t>
      </w:r>
      <w:r>
        <w:rPr>
          <w:sz w:val="21"/>
          <w:szCs w:val="21"/>
          <w:spacing w:val="16"/>
        </w:rPr>
        <w:t xml:space="preserve"> </w:t>
      </w:r>
      <w:r>
        <w:rPr>
          <w:sz w:val="21"/>
          <w:szCs w:val="21"/>
          <w:spacing w:val="2"/>
        </w:rPr>
        <w:t>料采购、智能排产、仓储物流到装配施工全流程管控，推进柔性</w:t>
      </w:r>
      <w:r>
        <w:rPr>
          <w:sz w:val="21"/>
          <w:szCs w:val="21"/>
          <w:spacing w:val="3"/>
        </w:rPr>
        <w:t xml:space="preserve">  </w:t>
      </w:r>
      <w:r>
        <w:rPr>
          <w:sz w:val="21"/>
          <w:szCs w:val="21"/>
          <w:spacing w:val="2"/>
        </w:rPr>
        <w:t>化生产和规模化定制。丰富部品部件模块产品供给，加大绿色建</w:t>
      </w:r>
      <w:r>
        <w:rPr>
          <w:sz w:val="21"/>
          <w:szCs w:val="21"/>
          <w:spacing w:val="3"/>
        </w:rPr>
        <w:t xml:space="preserve">  </w:t>
      </w:r>
      <w:r>
        <w:rPr>
          <w:sz w:val="21"/>
          <w:szCs w:val="21"/>
          <w:spacing w:val="3"/>
        </w:rPr>
        <w:t>材推广应用。建立部品部件产品质量认证和追溯体系，开展产品</w:t>
      </w:r>
      <w:r>
        <w:rPr>
          <w:sz w:val="21"/>
          <w:szCs w:val="21"/>
        </w:rPr>
        <w:t xml:space="preserve"> </w:t>
      </w:r>
      <w:r>
        <w:rPr>
          <w:rFonts w:ascii="KaiTi" w:hAnsi="KaiTi" w:eastAsia="KaiTi" w:cs="KaiTi"/>
          <w:sz w:val="21"/>
          <w:szCs w:val="21"/>
          <w:b/>
          <w:bCs/>
          <w:spacing w:val="7"/>
        </w:rPr>
        <w:t>认证和生产厂家星级评定。(责任单位：省住建厅、省经信</w:t>
      </w:r>
      <w:r>
        <w:rPr>
          <w:rFonts w:ascii="KaiTi" w:hAnsi="KaiTi" w:eastAsia="KaiTi" w:cs="KaiTi"/>
          <w:sz w:val="21"/>
          <w:szCs w:val="21"/>
          <w:b/>
          <w:bCs/>
          <w:spacing w:val="6"/>
        </w:rPr>
        <w:t>厅、</w:t>
      </w:r>
      <w:r>
        <w:rPr>
          <w:rFonts w:ascii="KaiTi" w:hAnsi="KaiTi" w:eastAsia="KaiTi" w:cs="KaiTi"/>
          <w:sz w:val="21"/>
          <w:szCs w:val="21"/>
        </w:rPr>
        <w:t xml:space="preserve"> </w:t>
      </w:r>
      <w:r>
        <w:rPr>
          <w:rFonts w:ascii="KaiTi" w:hAnsi="KaiTi" w:eastAsia="KaiTi" w:cs="KaiTi"/>
          <w:sz w:val="21"/>
          <w:szCs w:val="21"/>
          <w:b/>
          <w:bCs/>
        </w:rPr>
        <w:t>省市场监管局)</w:t>
      </w:r>
    </w:p>
    <w:p>
      <w:pPr>
        <w:pStyle w:val="BodyText"/>
        <w:ind w:left="2893" w:right="2948" w:firstLine="443"/>
        <w:spacing w:before="195" w:line="328" w:lineRule="auto"/>
        <w:rPr>
          <w:rFonts w:ascii="KaiTi" w:hAnsi="KaiTi" w:eastAsia="KaiTi" w:cs="KaiTi"/>
          <w:sz w:val="21"/>
          <w:szCs w:val="21"/>
        </w:rPr>
      </w:pPr>
      <w:r>
        <w:rPr>
          <w:rFonts w:ascii="KaiTi" w:hAnsi="KaiTi" w:eastAsia="KaiTi" w:cs="KaiTi"/>
          <w:sz w:val="21"/>
          <w:szCs w:val="21"/>
          <w:b/>
          <w:bCs/>
          <w:spacing w:val="4"/>
        </w:rPr>
        <w:t>(十一)大力推广智能施工。</w:t>
      </w:r>
      <w:r>
        <w:rPr>
          <w:rFonts w:ascii="KaiTi" w:hAnsi="KaiTi" w:eastAsia="KaiTi" w:cs="KaiTi"/>
          <w:sz w:val="21"/>
          <w:szCs w:val="21"/>
          <w:spacing w:val="4"/>
        </w:rPr>
        <w:t xml:space="preserve"> </w:t>
      </w:r>
      <w:r>
        <w:rPr>
          <w:sz w:val="21"/>
          <w:szCs w:val="21"/>
          <w:spacing w:val="4"/>
        </w:rPr>
        <w:t>以高效能施工装备为手段，提</w:t>
      </w:r>
      <w:r>
        <w:rPr>
          <w:sz w:val="21"/>
          <w:szCs w:val="21"/>
          <w:spacing w:val="9"/>
        </w:rPr>
        <w:t xml:space="preserve"> </w:t>
      </w:r>
      <w:r>
        <w:rPr>
          <w:sz w:val="21"/>
          <w:szCs w:val="21"/>
          <w:spacing w:val="2"/>
        </w:rPr>
        <w:t>升建筑产品建造效率。推进智能造楼机、智能架桥机、智能施工</w:t>
      </w:r>
      <w:r>
        <w:rPr>
          <w:sz w:val="21"/>
          <w:szCs w:val="21"/>
          <w:spacing w:val="6"/>
        </w:rPr>
        <w:t xml:space="preserve"> </w:t>
      </w:r>
      <w:r>
        <w:rPr>
          <w:sz w:val="21"/>
          <w:szCs w:val="21"/>
          <w:spacing w:val="10"/>
        </w:rPr>
        <w:t>升降机、智能塔机、建筑机器人等工程装备应用，加快升级迭</w:t>
      </w:r>
      <w:r>
        <w:rPr>
          <w:sz w:val="21"/>
          <w:szCs w:val="21"/>
          <w:spacing w:val="3"/>
        </w:rPr>
        <w:t xml:space="preserve"> </w:t>
      </w:r>
      <w:r>
        <w:rPr>
          <w:sz w:val="21"/>
          <w:szCs w:val="21"/>
          <w:spacing w:val="10"/>
        </w:rPr>
        <w:t>代。支持绿色智能建造创新产品纳入首台(套)</w:t>
      </w:r>
      <w:r>
        <w:rPr>
          <w:sz w:val="21"/>
          <w:szCs w:val="21"/>
          <w:spacing w:val="9"/>
        </w:rPr>
        <w:t>装备目录。大力</w:t>
      </w:r>
      <w:r>
        <w:rPr>
          <w:sz w:val="21"/>
          <w:szCs w:val="21"/>
        </w:rPr>
        <w:t xml:space="preserve"> </w:t>
      </w:r>
      <w:r>
        <w:rPr>
          <w:sz w:val="21"/>
          <w:szCs w:val="21"/>
          <w:spacing w:val="6"/>
        </w:rPr>
        <w:t>发展绿色智能装备租赁市场，推行“智能装备+产业工人”新模</w:t>
      </w:r>
      <w:r>
        <w:rPr>
          <w:sz w:val="21"/>
          <w:szCs w:val="21"/>
        </w:rPr>
        <w:t xml:space="preserve"> </w:t>
      </w:r>
      <w:r>
        <w:rPr>
          <w:sz w:val="21"/>
          <w:szCs w:val="21"/>
          <w:spacing w:val="9"/>
        </w:rPr>
        <w:t>式。加强智慧工地管理，动态监测关键环节质量安全和风险隐</w:t>
      </w:r>
      <w:r>
        <w:rPr>
          <w:sz w:val="21"/>
          <w:szCs w:val="21"/>
          <w:spacing w:val="15"/>
        </w:rPr>
        <w:t xml:space="preserve"> </w:t>
      </w:r>
      <w:r>
        <w:rPr>
          <w:sz w:val="21"/>
          <w:szCs w:val="21"/>
        </w:rPr>
        <w:t>患，实现高效调度和智能预警。</w:t>
      </w:r>
      <w:r>
        <w:rPr>
          <w:sz w:val="21"/>
          <w:szCs w:val="21"/>
          <w:spacing w:val="-46"/>
        </w:rPr>
        <w:t xml:space="preserve"> </w:t>
      </w:r>
      <w:r>
        <w:rPr>
          <w:rFonts w:ascii="KaiTi" w:hAnsi="KaiTi" w:eastAsia="KaiTi" w:cs="KaiTi"/>
          <w:sz w:val="21"/>
          <w:szCs w:val="21"/>
          <w:b/>
          <w:bCs/>
        </w:rPr>
        <w:t>(责任单位：省住建厅、</w:t>
      </w:r>
      <w:r>
        <w:rPr>
          <w:rFonts w:ascii="KaiTi" w:hAnsi="KaiTi" w:eastAsia="KaiTi" w:cs="KaiTi"/>
          <w:sz w:val="21"/>
          <w:szCs w:val="21"/>
          <w:spacing w:val="-29"/>
        </w:rPr>
        <w:t xml:space="preserve"> </w:t>
      </w:r>
      <w:r>
        <w:rPr>
          <w:rFonts w:ascii="KaiTi" w:hAnsi="KaiTi" w:eastAsia="KaiTi" w:cs="KaiTi"/>
          <w:sz w:val="21"/>
          <w:szCs w:val="21"/>
          <w:b/>
          <w:bCs/>
        </w:rPr>
        <w:t>省经信</w:t>
      </w:r>
      <w:r>
        <w:rPr>
          <w:rFonts w:ascii="KaiTi" w:hAnsi="KaiTi" w:eastAsia="KaiTi" w:cs="KaiTi"/>
          <w:sz w:val="21"/>
          <w:szCs w:val="21"/>
        </w:rPr>
        <w:t xml:space="preserve"> </w:t>
      </w:r>
      <w:r>
        <w:rPr>
          <w:rFonts w:ascii="KaiTi" w:hAnsi="KaiTi" w:eastAsia="KaiTi" w:cs="KaiTi"/>
          <w:sz w:val="21"/>
          <w:szCs w:val="21"/>
          <w:b/>
          <w:bCs/>
          <w:spacing w:val="1"/>
        </w:rPr>
        <w:t>厅、省财政厅、省市场监管局)</w:t>
      </w:r>
    </w:p>
    <w:p>
      <w:pPr>
        <w:pStyle w:val="BodyText"/>
        <w:ind w:left="2893" w:right="2945" w:firstLine="443"/>
        <w:spacing w:before="219" w:line="326" w:lineRule="auto"/>
        <w:rPr>
          <w:sz w:val="21"/>
          <w:szCs w:val="21"/>
        </w:rPr>
      </w:pPr>
      <w:r>
        <w:rPr>
          <w:rFonts w:ascii="KaiTi" w:hAnsi="KaiTi" w:eastAsia="KaiTi" w:cs="KaiTi"/>
          <w:sz w:val="21"/>
          <w:szCs w:val="21"/>
          <w:b/>
          <w:bCs/>
          <w:spacing w:val="1"/>
        </w:rPr>
        <w:t>(十二)积极发展智慧运维。</w:t>
      </w:r>
      <w:r>
        <w:rPr>
          <w:rFonts w:ascii="KaiTi" w:hAnsi="KaiTi" w:eastAsia="KaiTi" w:cs="KaiTi"/>
          <w:sz w:val="21"/>
          <w:szCs w:val="21"/>
          <w:spacing w:val="-9"/>
        </w:rPr>
        <w:t xml:space="preserve"> </w:t>
      </w:r>
      <w:r>
        <w:rPr>
          <w:sz w:val="21"/>
          <w:szCs w:val="21"/>
          <w:spacing w:val="1"/>
        </w:rPr>
        <w:t>利用物联网、</w:t>
      </w:r>
      <w:r>
        <w:rPr>
          <w:sz w:val="21"/>
          <w:szCs w:val="21"/>
          <w:spacing w:val="1"/>
        </w:rPr>
        <w:t xml:space="preserve"> </w:t>
      </w:r>
      <w:r>
        <w:rPr>
          <w:rFonts w:ascii="Times New Roman" w:hAnsi="Times New Roman" w:eastAsia="Times New Roman" w:cs="Times New Roman"/>
          <w:sz w:val="21"/>
          <w:szCs w:val="21"/>
        </w:rPr>
        <w:t>BIM</w:t>
      </w:r>
      <w:r>
        <w:rPr>
          <w:rFonts w:ascii="Times New Roman" w:hAnsi="Times New Roman" w:eastAsia="Times New Roman" w:cs="Times New Roman"/>
          <w:sz w:val="21"/>
          <w:szCs w:val="21"/>
          <w:spacing w:val="-29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1"/>
        </w:rPr>
        <w:t>、</w:t>
      </w:r>
      <w:r>
        <w:rPr>
          <w:sz w:val="21"/>
          <w:szCs w:val="21"/>
          <w:spacing w:val="1"/>
        </w:rPr>
        <w:t>人工智能</w:t>
      </w:r>
      <w:r>
        <w:rPr>
          <w:sz w:val="21"/>
          <w:szCs w:val="21"/>
        </w:rPr>
        <w:t xml:space="preserve"> </w:t>
      </w:r>
      <w:r>
        <w:rPr>
          <w:sz w:val="21"/>
          <w:szCs w:val="21"/>
          <w:spacing w:val="2"/>
        </w:rPr>
        <w:t>等技术，加强建筑结构和能耗监测，动态调节设备运行，降低运</w:t>
      </w:r>
      <w:r>
        <w:rPr>
          <w:sz w:val="21"/>
          <w:szCs w:val="21"/>
          <w:spacing w:val="9"/>
        </w:rPr>
        <w:t xml:space="preserve"> </w:t>
      </w:r>
      <w:r>
        <w:rPr>
          <w:sz w:val="21"/>
          <w:szCs w:val="21"/>
          <w:spacing w:val="2"/>
        </w:rPr>
        <w:t>行能耗，减少无效能耗。发展智慧物业，在居住和公共建筑中推</w:t>
      </w:r>
      <w:r>
        <w:rPr>
          <w:sz w:val="21"/>
          <w:szCs w:val="21"/>
          <w:spacing w:val="6"/>
        </w:rPr>
        <w:t xml:space="preserve"> </w:t>
      </w:r>
      <w:r>
        <w:rPr>
          <w:sz w:val="21"/>
          <w:szCs w:val="21"/>
          <w:spacing w:val="2"/>
        </w:rPr>
        <w:t>广智慧楼宇系统。推进公共设施网络化、智能化改造，提升管理</w:t>
      </w:r>
      <w:r>
        <w:rPr>
          <w:sz w:val="21"/>
          <w:szCs w:val="21"/>
          <w:spacing w:val="5"/>
        </w:rPr>
        <w:t xml:space="preserve"> </w:t>
      </w:r>
      <w:r>
        <w:rPr>
          <w:sz w:val="21"/>
          <w:szCs w:val="21"/>
          <w:spacing w:val="2"/>
        </w:rPr>
        <w:t>服务水平。发展智能家居，鼓励房地产企业试点智能家居设备一</w:t>
      </w:r>
    </w:p>
    <w:p>
      <w:pPr>
        <w:spacing w:line="326" w:lineRule="auto"/>
        <w:sectPr>
          <w:footerReference w:type="default" r:id="rId6"/>
          <w:pgSz w:w="16840" w:h="11910"/>
          <w:pgMar w:top="1012" w:right="2526" w:bottom="1541" w:left="2526" w:header="0" w:footer="1282" w:gutter="0"/>
        </w:sectPr>
        <w:rPr>
          <w:sz w:val="21"/>
          <w:szCs w:val="21"/>
        </w:rPr>
      </w:pP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pStyle w:val="BodyText"/>
        <w:ind w:left="3146"/>
        <w:spacing w:before="65" w:line="224" w:lineRule="auto"/>
        <w:rPr>
          <w:rFonts w:ascii="KaiTi" w:hAnsi="KaiTi" w:eastAsia="KaiTi" w:cs="KaiTi"/>
          <w:sz w:val="20"/>
          <w:szCs w:val="20"/>
        </w:rPr>
      </w:pPr>
      <w:r>
        <w:rPr>
          <w:sz w:val="20"/>
          <w:szCs w:val="20"/>
          <w:b/>
          <w:bCs/>
          <w:spacing w:val="1"/>
        </w:rPr>
        <w:t>体交付。</w:t>
      </w:r>
      <w:r>
        <w:rPr>
          <w:rFonts w:ascii="KaiTi" w:hAnsi="KaiTi" w:eastAsia="KaiTi" w:cs="KaiTi"/>
          <w:sz w:val="20"/>
          <w:szCs w:val="20"/>
          <w:b/>
          <w:bCs/>
          <w:spacing w:val="1"/>
        </w:rPr>
        <w:t>(责任单位：省住建厅、省经信厅)</w:t>
      </w:r>
    </w:p>
    <w:p>
      <w:pPr>
        <w:pStyle w:val="BodyText"/>
        <w:ind w:left="3146" w:right="2981" w:firstLine="410"/>
        <w:spacing w:before="112" w:line="370" w:lineRule="auto"/>
        <w:jc w:val="both"/>
        <w:rPr>
          <w:rFonts w:ascii="KaiTi" w:hAnsi="KaiTi" w:eastAsia="KaiTi" w:cs="KaiTi"/>
        </w:rPr>
      </w:pPr>
      <w:r>
        <w:rPr>
          <w:rFonts w:ascii="KaiTi" w:hAnsi="KaiTi" w:eastAsia="KaiTi" w:cs="KaiTi"/>
          <w:b/>
          <w:bCs/>
          <w:spacing w:val="13"/>
        </w:rPr>
        <w:t>(十三)推广绿色智慧建筑产品。</w:t>
      </w:r>
      <w:r>
        <w:rPr>
          <w:rFonts w:ascii="KaiTi" w:hAnsi="KaiTi" w:eastAsia="KaiTi" w:cs="KaiTi"/>
          <w:spacing w:val="-2"/>
        </w:rPr>
        <w:t xml:space="preserve"> </w:t>
      </w:r>
      <w:r>
        <w:rPr>
          <w:b/>
          <w:bCs/>
          <w:spacing w:val="13"/>
        </w:rPr>
        <w:t>建立完善绿色智慧建筑产</w:t>
      </w:r>
      <w:r>
        <w:rPr/>
        <w:t xml:space="preserve"> </w:t>
      </w:r>
      <w:r>
        <w:rPr>
          <w:b/>
          <w:bCs/>
          <w:spacing w:val="9"/>
        </w:rPr>
        <w:t>品标准体系和认证体系，制定涵盖设计、生产、施工、运维全过</w:t>
      </w:r>
      <w:r>
        <w:rPr>
          <w:spacing w:val="11"/>
        </w:rPr>
        <w:t xml:space="preserve"> </w:t>
      </w:r>
      <w:r>
        <w:rPr>
          <w:b/>
          <w:bCs/>
          <w:spacing w:val="9"/>
        </w:rPr>
        <w:t>程的产品技术标准和评价规范，打造产品绿色全生命周期追溯体</w:t>
      </w:r>
      <w:r>
        <w:rPr>
          <w:spacing w:val="8"/>
        </w:rPr>
        <w:t xml:space="preserve"> </w:t>
      </w:r>
      <w:r>
        <w:rPr>
          <w:b/>
          <w:bCs/>
          <w:spacing w:val="9"/>
        </w:rPr>
        <w:t>系。大力支持突破建筑节能、智能控制、环境监测、健康舒适等</w:t>
      </w:r>
      <w:r>
        <w:rPr>
          <w:spacing w:val="13"/>
        </w:rPr>
        <w:t xml:space="preserve"> </w:t>
      </w:r>
      <w:r>
        <w:rPr>
          <w:b/>
          <w:bCs/>
          <w:spacing w:val="9"/>
        </w:rPr>
        <w:t>关键技术，加快其在智慧城市、生态社区、健康住宅等领域的应</w:t>
      </w:r>
      <w:r>
        <w:rPr>
          <w:spacing w:val="15"/>
        </w:rPr>
        <w:t xml:space="preserve"> </w:t>
      </w:r>
      <w:r>
        <w:rPr>
          <w:b/>
          <w:bCs/>
          <w:spacing w:val="9"/>
        </w:rPr>
        <w:t>用示范，努力打造更多更好的绿色智慧建筑产品。支持企业建立</w:t>
      </w:r>
      <w:r>
        <w:rPr>
          <w:spacing w:val="10"/>
        </w:rPr>
        <w:t xml:space="preserve"> </w:t>
      </w:r>
      <w:r>
        <w:rPr>
          <w:b/>
          <w:bCs/>
          <w:spacing w:val="10"/>
        </w:rPr>
        <w:t>产品展示中心和体验馆，提升全社会认知度和认可</w:t>
      </w:r>
      <w:r>
        <w:rPr>
          <w:b/>
          <w:bCs/>
          <w:spacing w:val="9"/>
        </w:rPr>
        <w:t>度。</w:t>
      </w:r>
      <w:r>
        <w:rPr>
          <w:spacing w:val="9"/>
        </w:rPr>
        <w:t xml:space="preserve"> </w:t>
      </w:r>
      <w:r>
        <w:rPr>
          <w:rFonts w:ascii="KaiTi" w:hAnsi="KaiTi" w:eastAsia="KaiTi" w:cs="KaiTi"/>
          <w:b/>
          <w:bCs/>
          <w:spacing w:val="9"/>
        </w:rPr>
        <w:t>(责任单</w:t>
      </w:r>
      <w:r>
        <w:rPr>
          <w:rFonts w:ascii="KaiTi" w:hAnsi="KaiTi" w:eastAsia="KaiTi" w:cs="KaiTi"/>
        </w:rPr>
        <w:t xml:space="preserve"> </w:t>
      </w:r>
      <w:r>
        <w:rPr>
          <w:rFonts w:ascii="KaiTi" w:hAnsi="KaiTi" w:eastAsia="KaiTi" w:cs="KaiTi"/>
          <w:b/>
          <w:bCs/>
          <w:spacing w:val="10"/>
        </w:rPr>
        <w:t>位：省住建厅、省经信厅、省市场监管局)</w:t>
      </w:r>
    </w:p>
    <w:p>
      <w:pPr>
        <w:ind w:left="3556"/>
        <w:spacing w:before="41" w:line="213" w:lineRule="auto"/>
        <w:outlineLvl w:val="4"/>
        <w:rPr>
          <w:rFonts w:ascii="SimHei" w:hAnsi="SimHei" w:eastAsia="SimHei" w:cs="Sim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b/>
          <w:bCs/>
          <w:spacing w:val="5"/>
        </w:rPr>
        <w:t>四</w:t>
      </w:r>
      <w:r>
        <w:rPr>
          <w:rFonts w:ascii="SimHei" w:hAnsi="SimHei" w:eastAsia="SimHei" w:cs="SimHei"/>
          <w:sz w:val="19"/>
          <w:szCs w:val="19"/>
          <w:spacing w:val="-37"/>
        </w:rPr>
        <w:t xml:space="preserve"> </w:t>
      </w:r>
      <w:r>
        <w:rPr>
          <w:rFonts w:ascii="SimHei" w:hAnsi="SimHei" w:eastAsia="SimHei" w:cs="SimHei"/>
          <w:sz w:val="19"/>
          <w:szCs w:val="19"/>
          <w:b/>
          <w:bCs/>
          <w:spacing w:val="5"/>
        </w:rPr>
        <w:t>、优化产业生态，完善支撑体系</w:t>
      </w:r>
    </w:p>
    <w:p>
      <w:pPr>
        <w:pStyle w:val="BodyText"/>
        <w:ind w:left="3146" w:right="2921" w:firstLine="410"/>
        <w:spacing w:before="188" w:line="348" w:lineRule="auto"/>
        <w:rPr>
          <w:rFonts w:ascii="KaiTi" w:hAnsi="KaiTi" w:eastAsia="KaiTi" w:cs="KaiTi"/>
        </w:rPr>
      </w:pPr>
      <w:r>
        <w:rPr>
          <w:rFonts w:ascii="KaiTi" w:hAnsi="KaiTi" w:eastAsia="KaiTi" w:cs="KaiTi"/>
          <w:b/>
          <w:bCs/>
          <w:spacing w:val="13"/>
        </w:rPr>
        <w:t>(十四)培育行业人才链。</w:t>
      </w:r>
      <w:r>
        <w:rPr>
          <w:rFonts w:ascii="KaiTi" w:hAnsi="KaiTi" w:eastAsia="KaiTi" w:cs="KaiTi"/>
          <w:spacing w:val="-1"/>
        </w:rPr>
        <w:t xml:space="preserve"> </w:t>
      </w:r>
      <w:r>
        <w:rPr>
          <w:b/>
          <w:bCs/>
          <w:spacing w:val="13"/>
        </w:rPr>
        <w:t>培育领军人才，实施“楚天英才</w:t>
      </w:r>
      <w:r>
        <w:rPr/>
        <w:t xml:space="preserve">  </w:t>
      </w:r>
      <w:r>
        <w:rPr>
          <w:b/>
          <w:bCs/>
          <w:spacing w:val="9"/>
        </w:rPr>
        <w:t>计划”。培育技术人才，支持在鄂高校开设绿色智能建造相关专</w:t>
      </w:r>
      <w:r>
        <w:rPr>
          <w:spacing w:val="5"/>
        </w:rPr>
        <w:t xml:space="preserve">  </w:t>
      </w:r>
      <w:r>
        <w:rPr>
          <w:b/>
          <w:bCs/>
          <w:spacing w:val="9"/>
        </w:rPr>
        <w:t>业，完善职称评定体系，壮大涵盖全产业链的专业人才队伍。培</w:t>
      </w:r>
      <w:r>
        <w:rPr>
          <w:spacing w:val="3"/>
        </w:rPr>
        <w:t xml:space="preserve">  </w:t>
      </w:r>
      <w:r>
        <w:rPr>
          <w:b/>
          <w:bCs/>
          <w:spacing w:val="10"/>
        </w:rPr>
        <w:t>育现代产业工人队伍，建设产业工人培训基地，培养</w:t>
      </w:r>
      <w:r>
        <w:rPr>
          <w:rFonts w:ascii="Times New Roman" w:hAnsi="Times New Roman" w:eastAsia="Times New Roman" w:cs="Times New Roman"/>
          <w:b/>
          <w:bCs/>
        </w:rPr>
        <w:t>BIM</w:t>
      </w:r>
      <w:r>
        <w:rPr>
          <w:rFonts w:ascii="Times New Roman" w:hAnsi="Times New Roman" w:eastAsia="Times New Roman" w:cs="Times New Roman"/>
          <w:b/>
          <w:bCs/>
          <w:spacing w:val="39"/>
          <w:w w:val="101"/>
        </w:rPr>
        <w:t xml:space="preserve"> </w:t>
      </w:r>
      <w:r>
        <w:rPr>
          <w:b/>
          <w:bCs/>
          <w:spacing w:val="10"/>
        </w:rPr>
        <w:t>建模、</w:t>
      </w:r>
      <w:r>
        <w:rPr/>
        <w:t xml:space="preserve"> </w:t>
      </w:r>
      <w:r>
        <w:rPr>
          <w:b/>
          <w:bCs/>
          <w:spacing w:val="9"/>
        </w:rPr>
        <w:t>建筑机器人和智能设备运维、智能塔机操作等紧缺工种，完善技</w:t>
      </w:r>
      <w:r>
        <w:rPr>
          <w:spacing w:val="4"/>
        </w:rPr>
        <w:t xml:space="preserve">  </w:t>
      </w:r>
      <w:r>
        <w:rPr>
          <w:b/>
          <w:bCs/>
          <w:spacing w:val="9"/>
        </w:rPr>
        <w:t>能等级认定机制，引导企业提高自有工人占比。</w:t>
      </w:r>
      <w:r>
        <w:rPr>
          <w:spacing w:val="9"/>
        </w:rPr>
        <w:t xml:space="preserve"> </w:t>
      </w:r>
      <w:r>
        <w:rPr>
          <w:rFonts w:ascii="KaiTi" w:hAnsi="KaiTi" w:eastAsia="KaiTi" w:cs="KaiTi"/>
          <w:b/>
          <w:bCs/>
          <w:spacing w:val="9"/>
        </w:rPr>
        <w:t>(责任单位：省</w:t>
      </w:r>
      <w:r>
        <w:rPr>
          <w:rFonts w:ascii="KaiTi" w:hAnsi="KaiTi" w:eastAsia="KaiTi" w:cs="KaiTi"/>
          <w:spacing w:val="5"/>
        </w:rPr>
        <w:t xml:space="preserve">  </w:t>
      </w:r>
      <w:r>
        <w:rPr>
          <w:rFonts w:ascii="KaiTi" w:hAnsi="KaiTi" w:eastAsia="KaiTi" w:cs="KaiTi"/>
          <w:b/>
          <w:bCs/>
          <w:spacing w:val="11"/>
        </w:rPr>
        <w:t>人社厅、省教育厅、省住建厅)</w:t>
      </w:r>
    </w:p>
    <w:p>
      <w:pPr>
        <w:pStyle w:val="BodyText"/>
        <w:ind w:left="3146" w:right="2921" w:firstLine="410"/>
        <w:spacing w:before="190" w:line="340" w:lineRule="auto"/>
        <w:rPr>
          <w:rFonts w:ascii="KaiTi" w:hAnsi="KaiTi" w:eastAsia="KaiTi" w:cs="KaiTi"/>
        </w:rPr>
      </w:pPr>
      <w:r>
        <w:rPr>
          <w:rFonts w:ascii="KaiTi" w:hAnsi="KaiTi" w:eastAsia="KaiTi" w:cs="KaiTi"/>
          <w:b/>
          <w:bCs/>
          <w:spacing w:val="8"/>
        </w:rPr>
        <w:t>(十五)激活行业资金链。</w:t>
      </w:r>
      <w:r>
        <w:rPr>
          <w:rFonts w:ascii="KaiTi" w:hAnsi="KaiTi" w:eastAsia="KaiTi" w:cs="KaiTi"/>
          <w:spacing w:val="8"/>
        </w:rPr>
        <w:t xml:space="preserve"> </w:t>
      </w:r>
      <w:r>
        <w:rPr>
          <w:b/>
          <w:bCs/>
          <w:spacing w:val="8"/>
        </w:rPr>
        <w:t>依托“联链通”金融服</w:t>
      </w:r>
      <w:r>
        <w:rPr>
          <w:b/>
          <w:bCs/>
          <w:spacing w:val="7"/>
        </w:rPr>
        <w:t>务等平台，</w:t>
      </w:r>
      <w:r>
        <w:rPr/>
        <w:t xml:space="preserve"> </w:t>
      </w:r>
      <w:r>
        <w:rPr>
          <w:b/>
          <w:bCs/>
          <w:spacing w:val="9"/>
        </w:rPr>
        <w:t>以供应链金融为抓手，开发应收账款质押贷、工程保函、专利权</w:t>
      </w:r>
      <w:r>
        <w:rPr>
          <w:spacing w:val="4"/>
        </w:rPr>
        <w:t xml:space="preserve">  </w:t>
      </w:r>
      <w:r>
        <w:rPr>
          <w:b/>
          <w:bCs/>
          <w:spacing w:val="9"/>
        </w:rPr>
        <w:t>质押贷、项目专项贷等适配性强的金融产品，支持企业在贷款准</w:t>
      </w:r>
      <w:r>
        <w:rPr>
          <w:spacing w:val="3"/>
        </w:rPr>
        <w:t xml:space="preserve">  </w:t>
      </w:r>
      <w:r>
        <w:rPr>
          <w:b/>
          <w:bCs/>
          <w:spacing w:val="9"/>
        </w:rPr>
        <w:t>入、授信额度、利率下浮、贷款期限等方面享受优惠。成立绿色</w:t>
      </w:r>
      <w:r>
        <w:rPr>
          <w:spacing w:val="7"/>
        </w:rPr>
        <w:t xml:space="preserve">  </w:t>
      </w:r>
      <w:r>
        <w:rPr>
          <w:rFonts w:ascii="KaiTi" w:hAnsi="KaiTi" w:eastAsia="KaiTi" w:cs="KaiTi"/>
          <w:b/>
          <w:bCs/>
          <w:spacing w:val="8"/>
        </w:rPr>
        <w:t>智能建造产业基金。(责任单位：省地方金融管理局、省发改委、</w:t>
      </w:r>
    </w:p>
    <w:p>
      <w:pPr>
        <w:spacing w:line="340" w:lineRule="auto"/>
        <w:sectPr>
          <w:footerReference w:type="default" r:id="rId7"/>
          <w:pgSz w:w="16840" w:h="11910"/>
          <w:pgMar w:top="1012" w:right="2526" w:bottom="1391" w:left="2526" w:header="0" w:footer="1132" w:gutter="0"/>
        </w:sectPr>
        <w:rPr>
          <w:rFonts w:ascii="KaiTi" w:hAnsi="KaiTi" w:eastAsia="KaiTi" w:cs="KaiTi"/>
        </w:rPr>
      </w:pPr>
    </w:p>
    <w:p>
      <w:pPr>
        <w:spacing w:line="311" w:lineRule="auto"/>
        <w:rPr>
          <w:rFonts w:ascii="Arial"/>
          <w:sz w:val="21"/>
        </w:rPr>
      </w:pPr>
      <w:r/>
    </w:p>
    <w:p>
      <w:pPr>
        <w:spacing w:line="312" w:lineRule="auto"/>
        <w:rPr>
          <w:rFonts w:ascii="Arial"/>
          <w:sz w:val="21"/>
        </w:rPr>
      </w:pPr>
      <w:r/>
    </w:p>
    <w:p>
      <w:pPr>
        <w:ind w:left="2986" w:right="2894"/>
        <w:spacing w:before="65" w:line="368" w:lineRule="auto"/>
        <w:jc w:val="both"/>
        <w:rPr>
          <w:rFonts w:ascii="KaiTi" w:hAnsi="KaiTi" w:eastAsia="KaiTi" w:cs="KaiTi"/>
          <w:sz w:val="20"/>
          <w:szCs w:val="20"/>
        </w:rPr>
      </w:pPr>
      <w:r>
        <w:rPr>
          <w:rFonts w:ascii="KaiTi" w:hAnsi="KaiTi" w:eastAsia="KaiTi" w:cs="KaiTi"/>
          <w:sz w:val="20"/>
          <w:szCs w:val="20"/>
          <w:b/>
          <w:bCs/>
          <w:spacing w:val="8"/>
        </w:rPr>
        <w:t>省财政厅、省经信厅、省住建厅、省政府国资委、</w:t>
      </w:r>
      <w:r>
        <w:rPr>
          <w:rFonts w:ascii="KaiTi" w:hAnsi="KaiTi" w:eastAsia="KaiTi" w:cs="KaiTi"/>
          <w:sz w:val="20"/>
          <w:szCs w:val="20"/>
          <w:b/>
          <w:bCs/>
          <w:spacing w:val="7"/>
        </w:rPr>
        <w:t>人行湖北省分</w:t>
      </w:r>
      <w:r>
        <w:rPr>
          <w:rFonts w:ascii="KaiTi" w:hAnsi="KaiTi" w:eastAsia="KaiTi" w:cs="KaiTi"/>
          <w:sz w:val="20"/>
          <w:szCs w:val="20"/>
        </w:rPr>
        <w:t xml:space="preserve"> </w:t>
      </w:r>
      <w:r>
        <w:rPr>
          <w:rFonts w:ascii="KaiTi" w:hAnsi="KaiTi" w:eastAsia="KaiTi" w:cs="KaiTi"/>
          <w:sz w:val="20"/>
          <w:szCs w:val="20"/>
          <w:b/>
          <w:bCs/>
          <w:spacing w:val="9"/>
        </w:rPr>
        <w:t>行、湖北金融监管局、湖北联投集团、湖北宏泰集</w:t>
      </w:r>
      <w:r>
        <w:rPr>
          <w:rFonts w:ascii="KaiTi" w:hAnsi="KaiTi" w:eastAsia="KaiTi" w:cs="KaiTi"/>
          <w:sz w:val="20"/>
          <w:szCs w:val="20"/>
          <w:b/>
          <w:bCs/>
          <w:spacing w:val="8"/>
        </w:rPr>
        <w:t>团、长江产业</w:t>
      </w:r>
      <w:r>
        <w:rPr>
          <w:rFonts w:ascii="KaiTi" w:hAnsi="KaiTi" w:eastAsia="KaiTi" w:cs="KaiTi"/>
          <w:sz w:val="20"/>
          <w:szCs w:val="20"/>
        </w:rPr>
        <w:t xml:space="preserve"> </w:t>
      </w:r>
      <w:r>
        <w:rPr>
          <w:rFonts w:ascii="KaiTi" w:hAnsi="KaiTi" w:eastAsia="KaiTi" w:cs="KaiTi"/>
          <w:sz w:val="20"/>
          <w:szCs w:val="20"/>
          <w:b/>
          <w:bCs/>
          <w:spacing w:val="15"/>
        </w:rPr>
        <w:t>集团)</w:t>
      </w:r>
    </w:p>
    <w:p>
      <w:pPr>
        <w:pStyle w:val="BodyText"/>
        <w:ind w:left="2984" w:right="2841" w:firstLine="432"/>
        <w:spacing w:before="1" w:line="345" w:lineRule="auto"/>
        <w:jc w:val="both"/>
        <w:rPr>
          <w:rFonts w:ascii="KaiTi" w:hAnsi="KaiTi" w:eastAsia="KaiTi" w:cs="KaiTi"/>
          <w:sz w:val="21"/>
          <w:szCs w:val="21"/>
        </w:rPr>
      </w:pPr>
      <w:r>
        <w:rPr>
          <w:rFonts w:ascii="KaiTi" w:hAnsi="KaiTi" w:eastAsia="KaiTi" w:cs="KaiTi"/>
          <w:sz w:val="21"/>
          <w:szCs w:val="21"/>
          <w:b/>
          <w:bCs/>
          <w:spacing w:val="6"/>
        </w:rPr>
        <w:t>(十六)拓展产业服务链。</w:t>
      </w:r>
      <w:r>
        <w:rPr>
          <w:sz w:val="21"/>
          <w:szCs w:val="21"/>
          <w:spacing w:val="6"/>
        </w:rPr>
        <w:t>以用户需求为中心，建立覆盖需</w:t>
      </w:r>
      <w:r>
        <w:rPr>
          <w:sz w:val="21"/>
          <w:szCs w:val="21"/>
          <w:spacing w:val="17"/>
        </w:rPr>
        <w:t xml:space="preserve"> </w:t>
      </w:r>
      <w:r>
        <w:rPr>
          <w:sz w:val="21"/>
          <w:szCs w:val="21"/>
          <w:spacing w:val="8"/>
        </w:rPr>
        <w:t>求分析、设计、交付、运维等环节的协同服务体系。发展</w:t>
      </w:r>
      <w:r>
        <w:rPr>
          <w:sz w:val="21"/>
          <w:szCs w:val="21"/>
          <w:spacing w:val="7"/>
        </w:rPr>
        <w:t>项目</w:t>
      </w:r>
      <w:r>
        <w:rPr>
          <w:sz w:val="21"/>
          <w:szCs w:val="21"/>
        </w:rPr>
        <w:t xml:space="preserve"> </w:t>
      </w:r>
      <w:r>
        <w:rPr>
          <w:sz w:val="21"/>
          <w:szCs w:val="21"/>
          <w:spacing w:val="5"/>
        </w:rPr>
        <w:t>前期策划、</w:t>
      </w:r>
      <w:r>
        <w:rPr>
          <w:rFonts w:ascii="Times New Roman" w:hAnsi="Times New Roman" w:eastAsia="Times New Roman" w:cs="Times New Roman"/>
          <w:sz w:val="21"/>
          <w:szCs w:val="21"/>
        </w:rPr>
        <w:t>BIM</w:t>
      </w:r>
      <w:r>
        <w:rPr>
          <w:rFonts w:ascii="Times New Roman" w:hAnsi="Times New Roman" w:eastAsia="Times New Roman" w:cs="Times New Roman"/>
          <w:sz w:val="21"/>
          <w:szCs w:val="21"/>
          <w:spacing w:val="52"/>
          <w:w w:val="101"/>
        </w:rPr>
        <w:t xml:space="preserve"> </w:t>
      </w:r>
      <w:r>
        <w:rPr>
          <w:sz w:val="21"/>
          <w:szCs w:val="21"/>
          <w:spacing w:val="5"/>
        </w:rPr>
        <w:t>可视化模拟、工程咨询等前端服务，降低业主</w:t>
      </w:r>
      <w:r>
        <w:rPr>
          <w:sz w:val="21"/>
          <w:szCs w:val="21"/>
        </w:rPr>
        <w:t xml:space="preserve"> </w:t>
      </w:r>
      <w:r>
        <w:rPr>
          <w:sz w:val="21"/>
          <w:szCs w:val="21"/>
          <w:spacing w:val="8"/>
        </w:rPr>
        <w:t>决策风险。提升工程管理、装备智造、智能</w:t>
      </w:r>
      <w:r>
        <w:rPr>
          <w:sz w:val="21"/>
          <w:szCs w:val="21"/>
          <w:spacing w:val="7"/>
        </w:rPr>
        <w:t>施工、质量监控等</w:t>
      </w:r>
      <w:r>
        <w:rPr>
          <w:sz w:val="21"/>
          <w:szCs w:val="21"/>
        </w:rPr>
        <w:t xml:space="preserve"> </w:t>
      </w:r>
      <w:r>
        <w:rPr>
          <w:sz w:val="21"/>
          <w:szCs w:val="21"/>
          <w:spacing w:val="20"/>
        </w:rPr>
        <w:t>中端服务，推动产业从“建造”转向“绿色智造+服务</w:t>
      </w:r>
      <w:r>
        <w:rPr>
          <w:sz w:val="21"/>
          <w:szCs w:val="21"/>
          <w:spacing w:val="19"/>
        </w:rPr>
        <w:t>”融</w:t>
      </w:r>
      <w:r>
        <w:rPr>
          <w:sz w:val="21"/>
          <w:szCs w:val="21"/>
        </w:rPr>
        <w:t xml:space="preserve">  </w:t>
      </w:r>
      <w:r>
        <w:rPr>
          <w:sz w:val="21"/>
          <w:szCs w:val="21"/>
          <w:spacing w:val="8"/>
        </w:rPr>
        <w:t>合。延伸运维管理、节能改造、设备更新、数据资产运营等后</w:t>
      </w:r>
      <w:r>
        <w:rPr>
          <w:sz w:val="21"/>
          <w:szCs w:val="21"/>
          <w:spacing w:val="11"/>
        </w:rPr>
        <w:t xml:space="preserve"> </w:t>
      </w:r>
      <w:r>
        <w:rPr>
          <w:sz w:val="21"/>
          <w:szCs w:val="21"/>
          <w:spacing w:val="8"/>
        </w:rPr>
        <w:t>端服务，提升用户体验和运营效率。</w:t>
      </w:r>
      <w:r>
        <w:rPr>
          <w:sz w:val="21"/>
          <w:szCs w:val="21"/>
          <w:spacing w:val="58"/>
        </w:rPr>
        <w:t xml:space="preserve"> </w:t>
      </w:r>
      <w:r>
        <w:rPr>
          <w:rFonts w:ascii="KaiTi" w:hAnsi="KaiTi" w:eastAsia="KaiTi" w:cs="KaiTi"/>
          <w:sz w:val="21"/>
          <w:szCs w:val="21"/>
          <w:b/>
          <w:bCs/>
          <w:spacing w:val="8"/>
        </w:rPr>
        <w:t>(责任</w:t>
      </w:r>
      <w:r>
        <w:rPr>
          <w:rFonts w:ascii="KaiTi" w:hAnsi="KaiTi" w:eastAsia="KaiTi" w:cs="KaiTi"/>
          <w:sz w:val="21"/>
          <w:szCs w:val="21"/>
          <w:b/>
          <w:bCs/>
          <w:spacing w:val="7"/>
        </w:rPr>
        <w:t>单位：省住建厅、</w:t>
      </w:r>
      <w:r>
        <w:rPr>
          <w:rFonts w:ascii="KaiTi" w:hAnsi="KaiTi" w:eastAsia="KaiTi" w:cs="KaiTi"/>
          <w:sz w:val="21"/>
          <w:szCs w:val="21"/>
        </w:rPr>
        <w:t xml:space="preserve"> </w:t>
      </w:r>
      <w:r>
        <w:rPr>
          <w:rFonts w:ascii="KaiTi" w:hAnsi="KaiTi" w:eastAsia="KaiTi" w:cs="KaiTi"/>
          <w:sz w:val="21"/>
          <w:szCs w:val="21"/>
          <w:b/>
          <w:bCs/>
          <w:spacing w:val="6"/>
        </w:rPr>
        <w:t>省数据局)</w:t>
      </w:r>
    </w:p>
    <w:p>
      <w:pPr>
        <w:ind w:left="3416"/>
        <w:spacing w:before="63" w:line="213" w:lineRule="auto"/>
        <w:outlineLvl w:val="4"/>
        <w:rPr>
          <w:rFonts w:ascii="SimHei" w:hAnsi="SimHei" w:eastAsia="SimHei" w:cs="Sim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b/>
          <w:bCs/>
          <w:spacing w:val="14"/>
        </w:rPr>
        <w:t>五</w:t>
      </w:r>
      <w:r>
        <w:rPr>
          <w:rFonts w:ascii="SimHei" w:hAnsi="SimHei" w:eastAsia="SimHei" w:cs="SimHei"/>
          <w:sz w:val="19"/>
          <w:szCs w:val="19"/>
          <w:spacing w:val="-23"/>
        </w:rPr>
        <w:t xml:space="preserve"> </w:t>
      </w:r>
      <w:r>
        <w:rPr>
          <w:rFonts w:ascii="SimHei" w:hAnsi="SimHei" w:eastAsia="SimHei" w:cs="SimHei"/>
          <w:sz w:val="19"/>
          <w:szCs w:val="19"/>
          <w:b/>
          <w:bCs/>
          <w:spacing w:val="14"/>
        </w:rPr>
        <w:t>、加大支持力度，营造良好氛围</w:t>
      </w:r>
    </w:p>
    <w:p>
      <w:pPr>
        <w:pStyle w:val="BodyText"/>
        <w:ind w:left="2984" w:right="2912" w:firstLine="433"/>
        <w:spacing w:before="154" w:line="334" w:lineRule="auto"/>
        <w:jc w:val="both"/>
        <w:rPr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b/>
          <w:bCs/>
          <w:spacing w:val="-3"/>
        </w:rPr>
        <w:t>(十七)加大资金支持。</w:t>
      </w:r>
      <w:r>
        <w:rPr>
          <w:sz w:val="22"/>
          <w:szCs w:val="22"/>
          <w:spacing w:val="-3"/>
        </w:rPr>
        <w:t>统筹用好省级城乡建设发展、服务</w:t>
      </w:r>
      <w:r>
        <w:rPr>
          <w:sz w:val="22"/>
          <w:szCs w:val="22"/>
          <w:spacing w:val="9"/>
        </w:rPr>
        <w:t xml:space="preserve"> </w:t>
      </w:r>
      <w:r>
        <w:rPr>
          <w:sz w:val="22"/>
          <w:szCs w:val="22"/>
          <w:spacing w:val="6"/>
        </w:rPr>
        <w:t>业发展等引导资金及制造业高质量发展、科技创新等专项资</w:t>
      </w:r>
      <w:r>
        <w:rPr>
          <w:sz w:val="22"/>
          <w:szCs w:val="22"/>
          <w:spacing w:val="5"/>
        </w:rPr>
        <w:t xml:space="preserve"> </w:t>
      </w:r>
      <w:r>
        <w:rPr>
          <w:sz w:val="22"/>
          <w:szCs w:val="22"/>
          <w:spacing w:val="-3"/>
        </w:rPr>
        <w:t>金，加大对绿色智能建造工程软件研发、智能装备制造、关键</w:t>
      </w:r>
      <w:r>
        <w:rPr>
          <w:sz w:val="22"/>
          <w:szCs w:val="22"/>
          <w:spacing w:val="16"/>
        </w:rPr>
        <w:t xml:space="preserve"> </w:t>
      </w:r>
      <w:r>
        <w:rPr>
          <w:sz w:val="22"/>
          <w:szCs w:val="22"/>
          <w:spacing w:val="-2"/>
        </w:rPr>
        <w:t>课题研究等领域的支持力度。将绿色智能建造纳入</w:t>
      </w:r>
      <w:r>
        <w:rPr>
          <w:sz w:val="22"/>
          <w:szCs w:val="22"/>
          <w:spacing w:val="-3"/>
        </w:rPr>
        <w:t>工业、信息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spacing w:val="-2"/>
        </w:rPr>
        <w:t>技术等产业优惠政策支持范畴。支持创建绿色智能</w:t>
      </w:r>
      <w:r>
        <w:rPr>
          <w:sz w:val="22"/>
          <w:szCs w:val="22"/>
          <w:spacing w:val="-3"/>
        </w:rPr>
        <w:t>建造领域省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spacing w:val="-2"/>
        </w:rPr>
        <w:t>部级及以上科创平台，对牵头新获批的国家技术创新中心、国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spacing w:val="5"/>
        </w:rPr>
        <w:t>家产业创新中心一次性补助建设经费1000万元，对牵头新获</w:t>
      </w:r>
      <w:r>
        <w:rPr>
          <w:sz w:val="22"/>
          <w:szCs w:val="22"/>
          <w:spacing w:val="18"/>
        </w:rPr>
        <w:t xml:space="preserve"> </w:t>
      </w:r>
      <w:r>
        <w:rPr>
          <w:sz w:val="22"/>
          <w:szCs w:val="22"/>
          <w:spacing w:val="-2"/>
        </w:rPr>
        <w:t>批的全国重点实验室、国家工程研究中心、</w:t>
      </w:r>
      <w:r>
        <w:rPr>
          <w:sz w:val="22"/>
          <w:szCs w:val="22"/>
          <w:spacing w:val="-3"/>
        </w:rPr>
        <w:t>国家企业技术中心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spacing w:val="1"/>
        </w:rPr>
        <w:t>一次性补助建设经费500万元。企业购买绿色智能建造设备装</w:t>
      </w:r>
      <w:r>
        <w:rPr>
          <w:sz w:val="22"/>
          <w:szCs w:val="22"/>
          <w:spacing w:val="18"/>
        </w:rPr>
        <w:t xml:space="preserve"> </w:t>
      </w:r>
      <w:r>
        <w:rPr>
          <w:sz w:val="22"/>
          <w:szCs w:val="22"/>
          <w:spacing w:val="2"/>
        </w:rPr>
        <w:t>备用于研发的投入，可按规定享受企业所得税优</w:t>
      </w:r>
      <w:r>
        <w:rPr>
          <w:sz w:val="22"/>
          <w:szCs w:val="22"/>
          <w:spacing w:val="1"/>
        </w:rPr>
        <w:t>惠政策。(责</w:t>
      </w:r>
    </w:p>
    <w:p>
      <w:pPr>
        <w:spacing w:line="334" w:lineRule="auto"/>
        <w:sectPr>
          <w:footerReference w:type="default" r:id="rId8"/>
          <w:pgSz w:w="16840" w:h="11910"/>
          <w:pgMar w:top="1012" w:right="2526" w:bottom="1440" w:left="2526" w:header="0" w:footer="1167" w:gutter="0"/>
        </w:sectPr>
        <w:rPr>
          <w:sz w:val="22"/>
          <w:szCs w:val="22"/>
        </w:rPr>
      </w:pPr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ind w:left="3156" w:right="2846"/>
        <w:spacing w:before="65" w:line="351" w:lineRule="auto"/>
        <w:rPr>
          <w:rFonts w:ascii="KaiTi" w:hAnsi="KaiTi" w:eastAsia="KaiTi" w:cs="KaiTi"/>
          <w:sz w:val="20"/>
          <w:szCs w:val="20"/>
        </w:rPr>
      </w:pPr>
      <w:r>
        <w:rPr>
          <w:rFonts w:ascii="KaiTi" w:hAnsi="KaiTi" w:eastAsia="KaiTi" w:cs="KaiTi"/>
          <w:sz w:val="20"/>
          <w:szCs w:val="20"/>
          <w:b/>
          <w:bCs/>
          <w:spacing w:val="12"/>
        </w:rPr>
        <w:t>任单位：省住建厅、省发改委、省科技厅、省经信厅、省财政</w:t>
      </w:r>
      <w:r>
        <w:rPr>
          <w:rFonts w:ascii="KaiTi" w:hAnsi="KaiTi" w:eastAsia="KaiTi" w:cs="KaiTi"/>
          <w:sz w:val="20"/>
          <w:szCs w:val="20"/>
          <w:spacing w:val="2"/>
        </w:rPr>
        <w:t xml:space="preserve"> </w:t>
      </w:r>
      <w:r>
        <w:rPr>
          <w:rFonts w:ascii="KaiTi" w:hAnsi="KaiTi" w:eastAsia="KaiTi" w:cs="KaiTi"/>
          <w:sz w:val="20"/>
          <w:szCs w:val="20"/>
          <w:b/>
          <w:bCs/>
          <w:spacing w:val="11"/>
        </w:rPr>
        <w:t>厅、省税务局)</w:t>
      </w:r>
    </w:p>
    <w:p>
      <w:pPr>
        <w:pStyle w:val="BodyText"/>
        <w:ind w:left="3153" w:right="2791" w:firstLine="402"/>
        <w:spacing w:before="14" w:line="365" w:lineRule="auto"/>
        <w:rPr>
          <w:rFonts w:ascii="KaiTi" w:hAnsi="KaiTi" w:eastAsia="KaiTi" w:cs="KaiTi"/>
        </w:rPr>
      </w:pPr>
      <w:r>
        <w:rPr>
          <w:rFonts w:ascii="KaiTi" w:hAnsi="KaiTi" w:eastAsia="KaiTi" w:cs="KaiTi"/>
          <w:b/>
          <w:bCs/>
          <w:spacing w:val="20"/>
        </w:rPr>
        <w:t>(十八)加强政策保障。</w:t>
      </w:r>
      <w:r>
        <w:rPr>
          <w:rFonts w:ascii="KaiTi" w:hAnsi="KaiTi" w:eastAsia="KaiTi" w:cs="KaiTi"/>
          <w:spacing w:val="-22"/>
        </w:rPr>
        <w:t xml:space="preserve"> </w:t>
      </w:r>
      <w:r>
        <w:rPr>
          <w:spacing w:val="20"/>
        </w:rPr>
        <w:t>土地出让条件中应明</w:t>
      </w:r>
      <w:r>
        <w:rPr>
          <w:spacing w:val="19"/>
        </w:rPr>
        <w:t>确装配式建设</w:t>
      </w:r>
      <w:r>
        <w:rPr/>
        <w:t xml:space="preserve">  </w:t>
      </w:r>
      <w:r>
        <w:rPr>
          <w:spacing w:val="24"/>
        </w:rPr>
        <w:t>要求，在符合上位规划要求及确保安全的前提下</w:t>
      </w:r>
      <w:r>
        <w:rPr>
          <w:spacing w:val="23"/>
        </w:rPr>
        <w:t>，各地因地制</w:t>
      </w:r>
      <w:r>
        <w:rPr/>
        <w:t xml:space="preserve"> </w:t>
      </w:r>
      <w:r>
        <w:rPr>
          <w:spacing w:val="24"/>
        </w:rPr>
        <w:t>宜制定规划条件优化等支持性政策。保障绿色智能</w:t>
      </w:r>
      <w:r>
        <w:rPr>
          <w:spacing w:val="23"/>
        </w:rPr>
        <w:t>建造产业园</w:t>
      </w:r>
      <w:r>
        <w:rPr/>
        <w:t xml:space="preserve"> </w:t>
      </w:r>
      <w:r>
        <w:rPr>
          <w:spacing w:val="23"/>
        </w:rPr>
        <w:t>区项目用地，并对土地产出率、地均纳税额等用地控制指标放</w:t>
      </w:r>
      <w:r>
        <w:rPr>
          <w:spacing w:val="5"/>
        </w:rPr>
        <w:t xml:space="preserve">  </w:t>
      </w:r>
      <w:r>
        <w:rPr>
          <w:spacing w:val="19"/>
        </w:rPr>
        <w:t>宽执行。项目立项阶段应明确</w:t>
      </w:r>
      <w:r>
        <w:rPr>
          <w:spacing w:val="-20"/>
        </w:rPr>
        <w:t xml:space="preserve"> </w:t>
      </w:r>
      <w:r>
        <w:rPr>
          <w:rFonts w:ascii="Times New Roman" w:hAnsi="Times New Roman" w:eastAsia="Times New Roman" w:cs="Times New Roman"/>
        </w:rPr>
        <w:t>BIM</w:t>
      </w:r>
      <w:r>
        <w:rPr>
          <w:rFonts w:ascii="Times New Roman" w:hAnsi="Times New Roman" w:eastAsia="Times New Roman" w:cs="Times New Roman"/>
          <w:spacing w:val="46"/>
          <w:w w:val="102"/>
        </w:rPr>
        <w:t xml:space="preserve"> </w:t>
      </w:r>
      <w:r>
        <w:rPr>
          <w:spacing w:val="19"/>
        </w:rPr>
        <w:t>技术应用要求。支持部品部</w:t>
      </w:r>
      <w:r>
        <w:rPr/>
        <w:t xml:space="preserve">  </w:t>
      </w:r>
      <w:r>
        <w:rPr>
          <w:spacing w:val="24"/>
        </w:rPr>
        <w:t>件生产企业开展产线智能化改造与生产工艺创新，享受工业技</w:t>
      </w:r>
      <w:r>
        <w:rPr>
          <w:spacing w:val="5"/>
        </w:rPr>
        <w:t xml:space="preserve"> </w:t>
      </w:r>
      <w:r>
        <w:rPr>
          <w:spacing w:val="23"/>
        </w:rPr>
        <w:t>改相关优惠政策。建立健全绿色智能建造标准体系，完善工程</w:t>
      </w:r>
      <w:r>
        <w:rPr>
          <w:spacing w:val="6"/>
        </w:rPr>
        <w:t xml:space="preserve">  </w:t>
      </w:r>
      <w:r>
        <w:rPr>
          <w:spacing w:val="18"/>
        </w:rPr>
        <w:t>总承包、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</w:rPr>
        <w:t>BIM</w:t>
      </w:r>
      <w:r>
        <w:rPr>
          <w:rFonts w:ascii="Times New Roman" w:hAnsi="Times New Roman" w:eastAsia="Times New Roman" w:cs="Times New Roman"/>
          <w:spacing w:val="19"/>
          <w:w w:val="101"/>
        </w:rPr>
        <w:t xml:space="preserve">  </w:t>
      </w:r>
      <w:r>
        <w:rPr>
          <w:spacing w:val="18"/>
        </w:rPr>
        <w:t>应用等取费计价标准。</w:t>
      </w:r>
      <w:r>
        <w:rPr>
          <w:spacing w:val="68"/>
        </w:rPr>
        <w:t xml:space="preserve"> </w:t>
      </w:r>
      <w:r>
        <w:rPr>
          <w:rFonts w:ascii="KaiTi" w:hAnsi="KaiTi" w:eastAsia="KaiTi" w:cs="KaiTi"/>
          <w:b/>
          <w:bCs/>
          <w:spacing w:val="18"/>
        </w:rPr>
        <w:t>(责任单位：省住建厅、</w:t>
      </w:r>
      <w:r>
        <w:rPr>
          <w:rFonts w:ascii="KaiTi" w:hAnsi="KaiTi" w:eastAsia="KaiTi" w:cs="KaiTi"/>
        </w:rPr>
        <w:t xml:space="preserve"> </w:t>
      </w:r>
      <w:r>
        <w:rPr>
          <w:rFonts w:ascii="KaiTi" w:hAnsi="KaiTi" w:eastAsia="KaiTi" w:cs="KaiTi"/>
          <w:b/>
          <w:bCs/>
          <w:spacing w:val="21"/>
        </w:rPr>
        <w:t>省发改委、省经信厅、省财政厅、省自然资源厅、省市场监管</w:t>
      </w:r>
      <w:r>
        <w:rPr>
          <w:rFonts w:ascii="KaiTi" w:hAnsi="KaiTi" w:eastAsia="KaiTi" w:cs="KaiTi"/>
          <w:spacing w:val="5"/>
        </w:rPr>
        <w:t xml:space="preserve">  </w:t>
      </w:r>
      <w:r>
        <w:rPr>
          <w:rFonts w:ascii="KaiTi" w:hAnsi="KaiTi" w:eastAsia="KaiTi" w:cs="KaiTi"/>
          <w:b/>
          <w:bCs/>
          <w:spacing w:val="-3"/>
        </w:rPr>
        <w:t>局</w:t>
      </w:r>
      <w:r>
        <w:rPr>
          <w:rFonts w:ascii="KaiTi" w:hAnsi="KaiTi" w:eastAsia="KaiTi" w:cs="KaiTi"/>
          <w:spacing w:val="-13"/>
        </w:rPr>
        <w:t xml:space="preserve"> </w:t>
      </w:r>
      <w:r>
        <w:rPr>
          <w:rFonts w:ascii="KaiTi" w:hAnsi="KaiTi" w:eastAsia="KaiTi" w:cs="KaiTi"/>
          <w:b/>
          <w:bCs/>
          <w:spacing w:val="-3"/>
        </w:rPr>
        <w:t>)</w:t>
      </w:r>
    </w:p>
    <w:p>
      <w:pPr>
        <w:pStyle w:val="BodyText"/>
        <w:ind w:left="3153" w:right="2788" w:firstLine="402"/>
        <w:spacing w:before="168" w:line="353" w:lineRule="auto"/>
        <w:rPr>
          <w:rFonts w:ascii="KaiTi" w:hAnsi="KaiTi" w:eastAsia="KaiTi" w:cs="KaiTi"/>
        </w:rPr>
      </w:pPr>
      <w:r>
        <w:rPr>
          <w:rFonts w:ascii="KaiTi" w:hAnsi="KaiTi" w:eastAsia="KaiTi" w:cs="KaiTi"/>
          <w:b/>
          <w:bCs/>
          <w:spacing w:val="21"/>
        </w:rPr>
        <w:t>(十九)强化宣传引导。</w:t>
      </w:r>
      <w:r>
        <w:rPr>
          <w:rFonts w:ascii="KaiTi" w:hAnsi="KaiTi" w:eastAsia="KaiTi" w:cs="KaiTi"/>
          <w:spacing w:val="21"/>
        </w:rPr>
        <w:t xml:space="preserve"> </w:t>
      </w:r>
      <w:r>
        <w:rPr>
          <w:spacing w:val="21"/>
        </w:rPr>
        <w:t>打造“湖北建造”公共品牌体系，</w:t>
      </w:r>
      <w:r>
        <w:rPr>
          <w:spacing w:val="7"/>
        </w:rPr>
        <w:t xml:space="preserve"> </w:t>
      </w:r>
      <w:r>
        <w:rPr>
          <w:spacing w:val="16"/>
        </w:rPr>
        <w:t>塑造品牌文化内涵和识别标志。用好绿色智能建造试点城市、试</w:t>
      </w:r>
      <w:r>
        <w:rPr>
          <w:spacing w:val="14"/>
        </w:rPr>
        <w:t xml:space="preserve"> </w:t>
      </w:r>
      <w:r>
        <w:rPr>
          <w:spacing w:val="16"/>
        </w:rPr>
        <w:t>点企业和试点项目的经验成果，办好湖北省建筑业高</w:t>
      </w:r>
      <w:r>
        <w:rPr>
          <w:spacing w:val="15"/>
        </w:rPr>
        <w:t>质量发展大</w:t>
      </w:r>
      <w:r>
        <w:rPr/>
        <w:t xml:space="preserve">  </w:t>
      </w:r>
      <w:r>
        <w:rPr>
          <w:spacing w:val="19"/>
        </w:rPr>
        <w:t>会、绿色智能建造国际博览会。创新宣传模式</w:t>
      </w:r>
      <w:r>
        <w:rPr>
          <w:spacing w:val="18"/>
        </w:rPr>
        <w:t>，广泛深入宣传，</w:t>
      </w:r>
      <w:r>
        <w:rPr/>
        <w:t xml:space="preserve"> </w:t>
      </w:r>
      <w:r>
        <w:rPr>
          <w:spacing w:val="16"/>
        </w:rPr>
        <w:t>持续提高社会认可度，不断营造有利于绿色智</w:t>
      </w:r>
      <w:r>
        <w:rPr>
          <w:spacing w:val="15"/>
        </w:rPr>
        <w:t>能建造发展的良好</w:t>
      </w:r>
      <w:r>
        <w:rPr/>
        <w:t xml:space="preserve">  </w:t>
      </w:r>
      <w:r>
        <w:rPr>
          <w:spacing w:val="15"/>
        </w:rPr>
        <w:t>氛围。</w:t>
      </w:r>
      <w:r>
        <w:rPr>
          <w:rFonts w:ascii="KaiTi" w:hAnsi="KaiTi" w:eastAsia="KaiTi" w:cs="KaiTi"/>
          <w:b/>
          <w:bCs/>
          <w:spacing w:val="15"/>
        </w:rPr>
        <w:t>(责任单位：省住建厅)</w:t>
      </w:r>
    </w:p>
    <w:p>
      <w:pPr>
        <w:pStyle w:val="BodyText"/>
        <w:ind w:left="3153" w:right="2867" w:firstLine="400"/>
        <w:spacing w:before="172" w:line="378" w:lineRule="auto"/>
        <w:jc w:val="both"/>
        <w:rPr/>
      </w:pPr>
      <w:r>
        <w:rPr>
          <w:spacing w:val="24"/>
        </w:rPr>
        <w:t>加强省级统筹，各市州政府要强化组织领导，细化落实措</w:t>
      </w:r>
      <w:r>
        <w:rPr>
          <w:spacing w:val="10"/>
        </w:rPr>
        <w:t xml:space="preserve"> </w:t>
      </w:r>
      <w:r>
        <w:rPr>
          <w:spacing w:val="16"/>
        </w:rPr>
        <w:t>施。建立绿色智能建造产业发展工作协同机制，统筹协调</w:t>
      </w:r>
      <w:r>
        <w:rPr>
          <w:spacing w:val="15"/>
        </w:rPr>
        <w:t>重大事</w:t>
      </w:r>
      <w:r>
        <w:rPr/>
        <w:t xml:space="preserve"> </w:t>
      </w:r>
      <w:r>
        <w:rPr>
          <w:spacing w:val="16"/>
        </w:rPr>
        <w:t>项。在健全推进机制、创新金融支持、完善政策标</w:t>
      </w:r>
      <w:r>
        <w:rPr>
          <w:spacing w:val="15"/>
        </w:rPr>
        <w:t>准等方面先行</w:t>
      </w:r>
      <w:r>
        <w:rPr/>
        <w:t xml:space="preserve"> </w:t>
      </w:r>
      <w:r>
        <w:rPr>
          <w:spacing w:val="16"/>
        </w:rPr>
        <w:t>先试，共同推动全省绿色智能建造产业发展壮大</w:t>
      </w:r>
      <w:r>
        <w:rPr>
          <w:spacing w:val="15"/>
        </w:rPr>
        <w:t>，服务经济社会</w:t>
      </w:r>
    </w:p>
    <w:p>
      <w:pPr>
        <w:spacing w:line="378" w:lineRule="auto"/>
        <w:sectPr>
          <w:footerReference w:type="default" r:id="rId9"/>
          <w:pgSz w:w="16840" w:h="11910"/>
          <w:pgMar w:top="1012" w:right="2526" w:bottom="1328" w:left="2526" w:header="0" w:footer="1134" w:gutter="0"/>
        </w:sectPr>
        <w:rPr/>
      </w:pPr>
    </w:p>
    <w:p>
      <w:pPr>
        <w:spacing w:line="330" w:lineRule="auto"/>
        <w:rPr>
          <w:rFonts w:ascii="Arial"/>
          <w:sz w:val="21"/>
        </w:rPr>
      </w:pPr>
      <w:r/>
    </w:p>
    <w:p>
      <w:pPr>
        <w:spacing w:line="330" w:lineRule="auto"/>
        <w:rPr>
          <w:rFonts w:ascii="Arial"/>
          <w:sz w:val="21"/>
        </w:rPr>
      </w:pPr>
      <w:r/>
    </w:p>
    <w:p>
      <w:pPr>
        <w:pStyle w:val="BodyText"/>
        <w:ind w:left="3073"/>
        <w:spacing w:before="72" w:line="224" w:lineRule="auto"/>
        <w:rPr>
          <w:sz w:val="22"/>
          <w:szCs w:val="22"/>
        </w:rPr>
      </w:pPr>
      <w:r>
        <w:rPr>
          <w:sz w:val="22"/>
          <w:szCs w:val="22"/>
          <w:spacing w:val="-13"/>
        </w:rPr>
        <w:t>高质量发展。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left="6343"/>
        <w:spacing w:before="62" w:line="222" w:lineRule="auto"/>
        <w:rPr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4009383</wp:posOffset>
            </wp:positionH>
            <wp:positionV relativeFrom="paragraph">
              <wp:posOffset>-961097</wp:posOffset>
            </wp:positionV>
            <wp:extent cx="1123982" cy="1117562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23982" cy="1117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30"/>
          <w:w w:val="105"/>
        </w:rPr>
        <w:t>2025年11月23日</w:t>
      </w:r>
    </w:p>
    <w:p>
      <w:pPr>
        <w:pStyle w:val="BodyText"/>
        <w:ind w:left="3473"/>
        <w:spacing w:before="119" w:line="220" w:lineRule="auto"/>
        <w:rPr>
          <w:sz w:val="22"/>
          <w:szCs w:val="22"/>
        </w:rPr>
      </w:pPr>
      <w:r>
        <w:rPr>
          <w:sz w:val="22"/>
          <w:szCs w:val="22"/>
          <w:spacing w:val="-6"/>
        </w:rPr>
        <w:t>(此件公开发布)</w:t>
      </w:r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tbl>
      <w:tblPr>
        <w:tblStyle w:val="TableNormal"/>
        <w:tblW w:w="5909" w:type="dxa"/>
        <w:tblInd w:w="3003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5909"/>
      </w:tblGrid>
      <w:tr>
        <w:trPr>
          <w:trHeight w:val="947" w:hRule="atLeast"/>
        </w:trPr>
        <w:tc>
          <w:tcPr>
            <w:tcW w:w="5909" w:type="dxa"/>
            <w:vAlign w:val="top"/>
            <w:tcBorders>
              <w:bottom w:val="single" w:color="000000" w:sz="2" w:space="0"/>
              <w:top w:val="single" w:color="000000" w:sz="4" w:space="0"/>
            </w:tcBorders>
          </w:tcPr>
          <w:p>
            <w:pPr>
              <w:pStyle w:val="TableText"/>
              <w:ind w:left="180"/>
              <w:spacing w:before="105" w:line="222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-4"/>
              </w:rPr>
              <w:t>抄送：省委各部门，省军区，各人民团体。</w:t>
            </w:r>
          </w:p>
          <w:p>
            <w:pPr>
              <w:pStyle w:val="TableText"/>
              <w:ind w:left="760" w:right="138"/>
              <w:spacing w:before="73" w:line="27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20"/>
              </w:rPr>
              <w:t>省人大常委会办公厅，省政协办公厅，省监委，省法院，</w:t>
            </w:r>
            <w:r>
              <w:rPr>
                <w:sz w:val="18"/>
                <w:szCs w:val="18"/>
                <w:spacing w:val="9"/>
              </w:rPr>
              <w:t xml:space="preserve"> </w:t>
            </w:r>
            <w:r>
              <w:rPr>
                <w:sz w:val="18"/>
                <w:szCs w:val="18"/>
                <w:spacing w:val="9"/>
              </w:rPr>
              <w:t>省检察院。</w:t>
            </w:r>
          </w:p>
        </w:tc>
      </w:tr>
      <w:tr>
        <w:trPr>
          <w:trHeight w:val="367" w:hRule="atLeast"/>
        </w:trPr>
        <w:tc>
          <w:tcPr>
            <w:tcW w:w="5909" w:type="dxa"/>
            <w:vAlign w:val="top"/>
            <w:tcBorders>
              <w:top w:val="single" w:color="000000" w:sz="2" w:space="0"/>
              <w:bottom w:val="single" w:color="000000" w:sz="4" w:space="0"/>
            </w:tcBorders>
          </w:tcPr>
          <w:p>
            <w:pPr>
              <w:pStyle w:val="TableText"/>
              <w:ind w:left="180"/>
              <w:spacing w:before="104" w:line="222" w:lineRule="auto"/>
              <w:rPr/>
            </w:pPr>
            <w:r>
              <w:rPr>
                <w:sz w:val="19"/>
                <w:szCs w:val="19"/>
                <w:spacing w:val="15"/>
              </w:rPr>
              <w:t>湖北省人民政府办公厅</w:t>
            </w:r>
            <w:r>
              <w:rPr>
                <w:sz w:val="19"/>
                <w:szCs w:val="19"/>
                <w:spacing w:val="15"/>
              </w:rPr>
              <w:t xml:space="preserve">                </w:t>
            </w:r>
            <w:r>
              <w:rPr>
                <w:spacing w:val="15"/>
              </w:rPr>
              <w:t>2025年11月24</w:t>
            </w:r>
            <w:r>
              <w:rPr>
                <w:spacing w:val="14"/>
              </w:rPr>
              <w:t>日印发</w:t>
            </w:r>
          </w:p>
        </w:tc>
      </w:tr>
    </w:tbl>
    <w:p>
      <w:pPr>
        <w:spacing w:line="238" w:lineRule="exact"/>
        <w:rPr>
          <w:rFonts w:ascii="Arial"/>
          <w:sz w:val="20"/>
        </w:rPr>
      </w:pPr>
      <w:r/>
    </w:p>
    <w:sectPr>
      <w:footerReference w:type="default" r:id="rId10"/>
      <w:pgSz w:w="16840" w:h="11910"/>
      <w:pgMar w:top="1012" w:right="2526" w:bottom="1411" w:left="2526" w:header="0" w:footer="1152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TXingkai">
    <w:panose1 w:val="02010800040101010101"/>
    <w:charset w:val="86"/>
    <w:family w:val="auto"/>
    <w:pitch w:val="variable"/>
    <w:sig w:usb0="00000001" w:usb1="080F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214"/>
      <w:spacing w:line="177" w:lineRule="auto"/>
      <w:rPr>
        <w:rFonts w:ascii="Times New Roman" w:hAnsi="Times New Roman" w:eastAsia="Times New Roman" w:cs="Times New Roman"/>
        <w:sz w:val="19"/>
        <w:szCs w:val="19"/>
      </w:rPr>
    </w:pPr>
    <w:r>
      <w:rPr>
        <w:rFonts w:ascii="Times New Roman" w:hAnsi="Times New Roman" w:eastAsia="Times New Roman" w:cs="Times New Roman"/>
        <w:sz w:val="19"/>
        <w:szCs w:val="19"/>
        <w:spacing w:val="1"/>
      </w:rPr>
      <w:t>—2</w:t>
    </w:r>
    <w:r>
      <w:rPr>
        <w:rFonts w:ascii="Times New Roman" w:hAnsi="Times New Roman" w:eastAsia="Times New Roman" w:cs="Times New Roman"/>
        <w:sz w:val="19"/>
        <w:szCs w:val="19"/>
        <w:spacing w:val="3"/>
      </w:rPr>
      <w:t xml:space="preserve">     </w:t>
    </w:r>
    <w:r>
      <w:rPr>
        <w:rFonts w:ascii="Times New Roman" w:hAnsi="Times New Roman" w:eastAsia="Times New Roman" w:cs="Times New Roman"/>
        <w:sz w:val="19"/>
        <w:szCs w:val="19"/>
        <w:spacing w:val="1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023"/>
      <w:spacing w:line="229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2"/>
      </w:rPr>
      <w:t>—3—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183"/>
      <w:spacing w:line="230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2"/>
      </w:rPr>
      <w:t>—4—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963"/>
      <w:spacing w:line="229" w:lineRule="auto"/>
      <w:rPr>
        <w:rFonts w:ascii="SimSun" w:hAnsi="SimSun" w:eastAsia="SimSun" w:cs="SimSun"/>
        <w:sz w:val="19"/>
        <w:szCs w:val="19"/>
      </w:rPr>
    </w:pPr>
    <w:r>
      <w:rPr>
        <w:rFonts w:ascii="SimSun" w:hAnsi="SimSun" w:eastAsia="SimSun" w:cs="SimSun"/>
        <w:sz w:val="19"/>
        <w:szCs w:val="19"/>
        <w:spacing w:val="-2"/>
      </w:rPr>
      <w:t>—5—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053"/>
      <w:spacing w:line="230" w:lineRule="auto"/>
      <w:rPr>
        <w:rFonts w:ascii="SimSun" w:hAnsi="SimSun" w:eastAsia="SimSun" w:cs="SimSun"/>
        <w:sz w:val="20"/>
        <w:szCs w:val="20"/>
      </w:rPr>
    </w:pPr>
    <w:r>
      <w:rPr>
        <w:rFonts w:ascii="SimSun" w:hAnsi="SimSun" w:eastAsia="SimSun" w:cs="SimSun"/>
        <w:sz w:val="20"/>
        <w:szCs w:val="20"/>
        <w:spacing w:val="-3"/>
      </w:rPr>
      <w:t>—6—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874"/>
      <w:spacing w:line="230" w:lineRule="auto"/>
      <w:rPr>
        <w:rFonts w:ascii="SimSun" w:hAnsi="SimSun" w:eastAsia="SimSun" w:cs="SimSun"/>
        <w:sz w:val="20"/>
        <w:szCs w:val="20"/>
      </w:rPr>
    </w:pPr>
    <w:r>
      <w:rPr>
        <w:rFonts w:ascii="SimSun" w:hAnsi="SimSun" w:eastAsia="SimSun" w:cs="SimSun"/>
        <w:sz w:val="20"/>
        <w:szCs w:val="20"/>
        <w:spacing w:val="-3"/>
      </w:rPr>
      <w:t>—7—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153"/>
      <w:spacing w:line="230" w:lineRule="auto"/>
      <w:rPr>
        <w:rFonts w:ascii="SimSun" w:hAnsi="SimSun" w:eastAsia="SimSun" w:cs="SimSun"/>
        <w:sz w:val="21"/>
        <w:szCs w:val="21"/>
      </w:rPr>
    </w:pPr>
    <w:r>
      <w:rPr>
        <w:rFonts w:ascii="SimSun" w:hAnsi="SimSun" w:eastAsia="SimSun" w:cs="SimSun"/>
        <w:sz w:val="21"/>
        <w:szCs w:val="21"/>
        <w:spacing w:val="-3"/>
      </w:rPr>
      <w:t>—8—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004"/>
      <w:spacing w:line="227" w:lineRule="auto"/>
      <w:rPr>
        <w:rFonts w:ascii="SimSun" w:hAnsi="SimSun" w:eastAsia="SimSun" w:cs="SimSun"/>
        <w:sz w:val="15"/>
        <w:szCs w:val="15"/>
      </w:rPr>
    </w:pPr>
    <w:r>
      <w:rPr>
        <w:rFonts w:ascii="SimSun" w:hAnsi="SimSun" w:eastAsia="SimSun" w:cs="SimSun"/>
        <w:sz w:val="15"/>
        <w:szCs w:val="15"/>
        <w:spacing w:val="-2"/>
      </w:rPr>
      <w:t>—9—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183"/>
      <w:spacing w:line="230" w:lineRule="auto"/>
      <w:rPr>
        <w:rFonts w:ascii="SimSun" w:hAnsi="SimSun" w:eastAsia="SimSun" w:cs="SimSun"/>
        <w:sz w:val="20"/>
        <w:szCs w:val="20"/>
      </w:rPr>
    </w:pPr>
    <w:r>
      <w:rPr>
        <w:rFonts w:ascii="SimSun" w:hAnsi="SimSun" w:eastAsia="SimSun" w:cs="SimSun"/>
        <w:sz w:val="20"/>
        <w:szCs w:val="20"/>
        <w:spacing w:val="-2"/>
      </w:rPr>
      <w:t>—10—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17"/>
      <w:szCs w:val="17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8.xml"/><Relationship Id="rId8" Type="http://schemas.openxmlformats.org/officeDocument/2006/relationships/footer" Target="footer7.xml"/><Relationship Id="rId7" Type="http://schemas.openxmlformats.org/officeDocument/2006/relationships/footer" Target="footer6.xml"/><Relationship Id="rId6" Type="http://schemas.openxmlformats.org/officeDocument/2006/relationships/footer" Target="footer5.xml"/><Relationship Id="rId5" Type="http://schemas.openxmlformats.org/officeDocument/2006/relationships/footer" Target="footer4.xml"/><Relationship Id="rId4" Type="http://schemas.openxmlformats.org/officeDocument/2006/relationships/footer" Target="footer3.xml"/><Relationship Id="rId3" Type="http://schemas.openxmlformats.org/officeDocument/2006/relationships/footer" Target="footer2.xml"/><Relationship Id="rId2" Type="http://schemas.openxmlformats.org/officeDocument/2006/relationships/footer" Target="footer1.xml"/><Relationship Id="rId14" Type="http://schemas.openxmlformats.org/officeDocument/2006/relationships/fontTable" Target="fontTable.xml"/><Relationship Id="rId13" Type="http://schemas.openxmlformats.org/officeDocument/2006/relationships/styles" Target="styles.xml"/><Relationship Id="rId12" Type="http://schemas.openxmlformats.org/officeDocument/2006/relationships/settings" Target="settings.xml"/><Relationship Id="rId11" Type="http://schemas.openxmlformats.org/officeDocument/2006/relationships/image" Target="media/image2.png"/><Relationship Id="rId10" Type="http://schemas.openxmlformats.org/officeDocument/2006/relationships/footer" Target="footer9.xml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2026-07-17T11:40:26Z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2026-07-17T11:40:26</vt:filetime>
  </property>
  <property fmtid="{D5CDD505-2E9C-101B-9397-08002B2CF9AE}" pid="4" name="UsrData">
    <vt:lpwstr>6a59a427b12bc7001fca9359wl</vt:lpwstr>
  </property>
</Properties>
</file>