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ectPr>
          <w:footerReference w:type="default" r:id="rId1"/>
          <w:pgSz w:w="11900" w:h="16840"/>
          <w:pgMar w:top="1431" w:right="1430" w:bottom="1807" w:left="1400" w:header="0" w:footer="1507" w:gutter="0"/>
          <w:cols w:equalWidth="0" w:num="1">
            <w:col w:w="9070" w:space="0"/>
          </w:cols>
        </w:sectPr>
        <w:rPr/>
      </w:pPr>
    </w:p>
    <w:p>
      <w:pPr>
        <w:ind w:left="198" w:right="33" w:firstLine="1"/>
        <w:spacing w:before="213" w:line="210" w:lineRule="auto"/>
        <w:rPr>
          <w:rFonts w:ascii="SimSun" w:hAnsi="SimSun" w:eastAsia="SimSun" w:cs="SimSun"/>
          <w:sz w:val="70"/>
          <w:szCs w:val="70"/>
        </w:rPr>
      </w:pPr>
      <w:r>
        <w:rPr>
          <w:rFonts w:ascii="SimSun" w:hAnsi="SimSun" w:eastAsia="SimSun" w:cs="SimSun"/>
          <w:sz w:val="70"/>
          <w:szCs w:val="70"/>
          <w:b/>
          <w:bCs/>
          <w:color w:val="F04020"/>
          <w:spacing w:val="-34"/>
        </w:rPr>
        <w:t>湖北省住房和城乡建设厅</w:t>
      </w:r>
      <w:r>
        <w:rPr>
          <w:rFonts w:ascii="SimSun" w:hAnsi="SimSun" w:eastAsia="SimSun" w:cs="SimSun"/>
          <w:sz w:val="70"/>
          <w:szCs w:val="70"/>
          <w:color w:val="F04020"/>
          <w:spacing w:val="7"/>
        </w:rPr>
        <w:t xml:space="preserve"> </w:t>
      </w:r>
      <w:r>
        <w:rPr>
          <w:rFonts w:ascii="SimSun" w:hAnsi="SimSun" w:eastAsia="SimSun" w:cs="SimSun"/>
          <w:sz w:val="70"/>
          <w:szCs w:val="70"/>
          <w:b/>
          <w:bCs/>
          <w:color w:val="F04020"/>
          <w:spacing w:val="-55"/>
          <w:w w:val="88"/>
        </w:rPr>
        <w:t>湖北省人力资源和社会保障厅</w:t>
      </w:r>
    </w:p>
    <w:p>
      <w:pPr>
        <w:spacing w:before="1" w:line="219" w:lineRule="auto"/>
        <w:jc w:val="right"/>
        <w:rPr>
          <w:rFonts w:ascii="SimSun" w:hAnsi="SimSun" w:eastAsia="SimSun" w:cs="SimSun"/>
          <w:sz w:val="70"/>
          <w:szCs w:val="70"/>
        </w:rPr>
      </w:pPr>
      <w:r>
        <w:rPr>
          <w:rFonts w:ascii="SimSun" w:hAnsi="SimSun" w:eastAsia="SimSun" w:cs="SimSun"/>
          <w:sz w:val="70"/>
          <w:szCs w:val="70"/>
          <w:b/>
          <w:bCs/>
          <w:color w:val="F04020"/>
          <w:spacing w:val="-55"/>
          <w:w w:val="77"/>
        </w:rPr>
        <w:t>国家金融监督管理总局湖北监管局</w:t>
      </w:r>
    </w:p>
    <w:p>
      <w:pPr>
        <w:spacing w:line="83" w:lineRule="exact"/>
        <w:rPr/>
      </w:pPr>
      <w:r/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spacing w:before="351" w:line="219" w:lineRule="auto"/>
        <w:jc w:val="right"/>
        <w:rPr>
          <w:rFonts w:ascii="SimSun" w:hAnsi="SimSun" w:eastAsia="SimSun" w:cs="SimSun"/>
          <w:sz w:val="108"/>
          <w:szCs w:val="108"/>
        </w:rPr>
      </w:pPr>
      <w:r>
        <w:rPr>
          <w:rFonts w:ascii="SimSun" w:hAnsi="SimSun" w:eastAsia="SimSun" w:cs="SimSun"/>
          <w:sz w:val="108"/>
          <w:szCs w:val="108"/>
          <w:b/>
          <w:bCs/>
          <w:color w:val="F04020"/>
          <w:spacing w:val="-49"/>
          <w:w w:val="55"/>
        </w:rPr>
        <w:t>文</w:t>
      </w:r>
      <w:r>
        <w:rPr>
          <w:rFonts w:ascii="SimSun" w:hAnsi="SimSun" w:eastAsia="SimSun" w:cs="SimSun"/>
          <w:sz w:val="108"/>
          <w:szCs w:val="108"/>
          <w:b/>
          <w:bCs/>
          <w:color w:val="F04020"/>
          <w:spacing w:val="-47"/>
          <w:w w:val="55"/>
        </w:rPr>
        <w:t>件</w:t>
      </w:r>
    </w:p>
    <w:p>
      <w:pPr>
        <w:spacing w:line="219" w:lineRule="auto"/>
        <w:sectPr>
          <w:type w:val="continuous"/>
          <w:pgSz w:w="11900" w:h="16840"/>
          <w:pgMar w:top="1431" w:right="1430" w:bottom="1807" w:left="1400" w:header="0" w:footer="1507" w:gutter="0"/>
          <w:cols w:equalWidth="0" w:num="2">
            <w:col w:w="7649" w:space="100"/>
            <w:col w:w="1322" w:space="0"/>
          </w:cols>
        </w:sectPr>
        <w:rPr>
          <w:rFonts w:ascii="SimSun" w:hAnsi="SimSun" w:eastAsia="SimSun" w:cs="SimSun"/>
          <w:sz w:val="108"/>
          <w:szCs w:val="108"/>
        </w:rPr>
      </w:pPr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pStyle w:val="BodyText"/>
        <w:ind w:left="2999"/>
        <w:spacing w:before="113" w:line="222" w:lineRule="auto"/>
        <w:rPr/>
      </w:pPr>
      <w:r>
        <w:rPr>
          <w:spacing w:val="-18"/>
        </w:rPr>
        <w:t>鄂建设规〔2026〕3号</w:t>
      </w:r>
    </w:p>
    <w:p>
      <w:pPr>
        <w:spacing w:before="117" w:line="60" w:lineRule="exact"/>
        <w:rPr/>
      </w:pPr>
      <w:r>
        <w:rPr>
          <w:position w:val="-1"/>
        </w:rPr>
        <w:drawing>
          <wp:inline distT="0" distB="0" distL="0" distR="0">
            <wp:extent cx="5759412" cy="38068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59412" cy="3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91" w:lineRule="auto"/>
        <w:rPr>
          <w:rFonts w:ascii="Arial"/>
          <w:sz w:val="21"/>
        </w:rPr>
      </w:pPr>
      <w:r/>
    </w:p>
    <w:p>
      <w:pPr>
        <w:spacing w:line="292" w:lineRule="auto"/>
        <w:rPr>
          <w:rFonts w:ascii="Arial"/>
          <w:sz w:val="21"/>
        </w:rPr>
      </w:pPr>
      <w:r/>
    </w:p>
    <w:p>
      <w:pPr>
        <w:ind w:left="366"/>
        <w:spacing w:before="156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44"/>
        </w:rPr>
        <w:t>关于印发《湖北省房屋建筑和市政基础设施</w:t>
      </w:r>
    </w:p>
    <w:p>
      <w:pPr>
        <w:ind w:left="1686"/>
        <w:spacing w:before="11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44"/>
        </w:rPr>
        <w:t>工程领域工程款支付担保管理</w:t>
      </w:r>
    </w:p>
    <w:p>
      <w:pPr>
        <w:ind w:left="2766"/>
        <w:spacing w:before="11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39"/>
        </w:rPr>
        <w:t>实施办法》的通知</w:t>
      </w:r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pStyle w:val="BodyText"/>
        <w:ind w:left="99" w:right="110"/>
        <w:spacing w:before="114" w:line="306" w:lineRule="auto"/>
        <w:jc w:val="both"/>
        <w:rPr/>
      </w:pPr>
      <w:r>
        <w:rPr>
          <w:spacing w:val="-22"/>
        </w:rPr>
        <w:t>各市、州、直管市、神农架林区自然资源和城乡建设局、住房</w:t>
      </w:r>
      <w:r>
        <w:rPr>
          <w:spacing w:val="2"/>
        </w:rPr>
        <w:t xml:space="preserve"> </w:t>
      </w:r>
      <w:r>
        <w:rPr>
          <w:spacing w:val="-22"/>
        </w:rPr>
        <w:t>和城市更新局、人力资源和社会保障局，各金融监管分局、直</w:t>
      </w:r>
      <w:r>
        <w:rPr/>
        <w:t xml:space="preserve"> </w:t>
      </w:r>
      <w:r>
        <w:rPr>
          <w:spacing w:val="-33"/>
        </w:rPr>
        <w:t>管支局，有关单位：</w:t>
      </w:r>
    </w:p>
    <w:p>
      <w:pPr>
        <w:pStyle w:val="BodyText"/>
        <w:ind w:left="99" w:right="108" w:firstLine="669"/>
        <w:spacing w:before="28" w:line="273" w:lineRule="auto"/>
        <w:jc w:val="both"/>
        <w:rPr/>
      </w:pPr>
      <w:r>
        <w:rPr>
          <w:spacing w:val="-23"/>
        </w:rPr>
        <w:t>为贯彻落实《保障农民工工资支付条例》《住房和城乡建</w:t>
      </w:r>
      <w:r>
        <w:rPr>
          <w:spacing w:val="7"/>
        </w:rPr>
        <w:t xml:space="preserve"> </w:t>
      </w:r>
      <w:r>
        <w:rPr>
          <w:spacing w:val="-22"/>
        </w:rPr>
        <w:t>设部等部门关于加快推进房屋建筑和市政基础设</w:t>
      </w:r>
      <w:r>
        <w:rPr>
          <w:spacing w:val="-23"/>
        </w:rPr>
        <w:t>施工程实行工</w:t>
      </w:r>
      <w:r>
        <w:rPr/>
        <w:t xml:space="preserve"> </w:t>
      </w:r>
      <w:r>
        <w:rPr>
          <w:spacing w:val="-16"/>
        </w:rPr>
        <w:t>程担保制度的指导意见》,保障施工企业工程款和农民工劳务</w:t>
      </w:r>
      <w:r>
        <w:rPr>
          <w:spacing w:val="6"/>
        </w:rPr>
        <w:t xml:space="preserve"> </w:t>
      </w:r>
      <w:r>
        <w:rPr>
          <w:spacing w:val="-9"/>
        </w:rPr>
        <w:t>报酬权益，省住建厅会同省人社厅、湖北金融</w:t>
      </w:r>
      <w:r>
        <w:rPr>
          <w:spacing w:val="-10"/>
        </w:rPr>
        <w:t>监管局修订了</w:t>
      </w:r>
    </w:p>
    <w:p>
      <w:pPr>
        <w:spacing w:line="273" w:lineRule="auto"/>
        <w:sectPr>
          <w:type w:val="continuous"/>
          <w:pgSz w:w="11900" w:h="16840"/>
          <w:pgMar w:top="1431" w:right="1430" w:bottom="1807" w:left="1400" w:header="0" w:footer="1507" w:gutter="0"/>
          <w:cols w:equalWidth="0" w:num="1">
            <w:col w:w="9070" w:space="0"/>
          </w:cols>
        </w:sectPr>
        <w:rPr/>
      </w:pPr>
    </w:p>
    <w:p>
      <w:pPr>
        <w:spacing w:line="250" w:lineRule="auto"/>
        <w:rPr>
          <w:rFonts w:ascii="Arial"/>
          <w:sz w:val="21"/>
        </w:rPr>
      </w:pPr>
      <w:r/>
    </w:p>
    <w:p>
      <w:pPr>
        <w:pStyle w:val="BodyText"/>
        <w:ind w:left="179" w:hanging="35"/>
        <w:spacing w:before="114" w:line="279" w:lineRule="auto"/>
        <w:rPr/>
      </w:pPr>
      <w:r>
        <w:rPr>
          <w:spacing w:val="-23"/>
        </w:rPr>
        <w:t>《湖北省房屋建筑和市政基础设施工程领域工程</w:t>
      </w:r>
      <w:r>
        <w:rPr>
          <w:spacing w:val="-24"/>
        </w:rPr>
        <w:t>款支付担保管</w:t>
      </w:r>
      <w:r>
        <w:rPr/>
        <w:t xml:space="preserve"> </w:t>
      </w:r>
      <w:r>
        <w:rPr>
          <w:spacing w:val="-23"/>
        </w:rPr>
        <w:t>理实施办法》,现予印发，请遵照执行。</w:t>
      </w: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622277</wp:posOffset>
            </wp:positionH>
            <wp:positionV relativeFrom="paragraph">
              <wp:posOffset>51543</wp:posOffset>
            </wp:positionV>
            <wp:extent cx="1670061" cy="1651061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70061" cy="1651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pStyle w:val="BodyText"/>
        <w:ind w:right="59"/>
        <w:spacing w:before="114" w:line="221" w:lineRule="auto"/>
        <w:jc w:val="right"/>
        <w:rPr/>
      </w:pPr>
      <w:r>
        <w:pict>
          <v:shape id="_x0000_s2" style="position:absolute;margin-left:29.4997pt;margin-top:2.78734pt;mso-position-vertical-relative:text;mso-position-horizontal-relative:text;width:177.6pt;height:23.05pt;z-index:2516582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spacing w:before="19" w:line="222" w:lineRule="auto"/>
                    <w:jc w:val="right"/>
                    <w:rPr/>
                  </w:pPr>
                  <w:r>
                    <w:rPr>
                      <w:spacing w:val="-31"/>
                    </w:rPr>
                    <w:t>湖北省住房和城乡建设厅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3441682</wp:posOffset>
            </wp:positionH>
            <wp:positionV relativeFrom="paragraph">
              <wp:posOffset>-707593</wp:posOffset>
            </wp:positionV>
            <wp:extent cx="1657367" cy="1663679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57367" cy="1663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7"/>
        </w:rPr>
        <w:t>湖北省人力资源和社会保障厅</w:t>
      </w:r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pStyle w:val="BodyText"/>
        <w:ind w:left="5939" w:right="628" w:hanging="790"/>
        <w:spacing w:before="114" w:line="329" w:lineRule="auto"/>
        <w:rPr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3422640</wp:posOffset>
            </wp:positionH>
            <wp:positionV relativeFrom="paragraph">
              <wp:posOffset>-621281</wp:posOffset>
            </wp:positionV>
            <wp:extent cx="1651019" cy="1625610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51019" cy="1625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1"/>
        </w:rPr>
        <w:t>国家金融监督管理总局</w:t>
      </w:r>
      <w:r>
        <w:rPr/>
        <w:t xml:space="preserve"> </w:t>
      </w:r>
      <w:r>
        <w:rPr>
          <w:spacing w:val="-24"/>
        </w:rPr>
        <w:t>湖北监管局</w:t>
      </w:r>
    </w:p>
    <w:p>
      <w:pPr>
        <w:pStyle w:val="BodyText"/>
        <w:ind w:left="5479"/>
        <w:spacing w:line="222" w:lineRule="auto"/>
        <w:rPr/>
      </w:pPr>
      <w:r>
        <w:rPr>
          <w:spacing w:val="20"/>
        </w:rPr>
        <w:t>2026年6月26日</w:t>
      </w:r>
    </w:p>
    <w:p>
      <w:pPr>
        <w:spacing w:line="222" w:lineRule="auto"/>
        <w:sectPr>
          <w:footerReference w:type="default" r:id="rId3"/>
          <w:pgSz w:w="11900" w:h="16840"/>
          <w:pgMar w:top="1431" w:right="1150" w:bottom="1918" w:left="1780" w:header="0" w:footer="1631" w:gutter="0"/>
        </w:sectPr>
        <w:rPr/>
      </w:pP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ind w:left="1890" w:right="824" w:hanging="1000"/>
        <w:spacing w:before="143" w:line="237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b/>
          <w:bCs/>
          <w:spacing w:val="-36"/>
          <w:w w:val="97"/>
        </w:rPr>
        <w:t>湖北省房屋建筑和市政基础设施工程领域</w:t>
      </w:r>
      <w:r>
        <w:rPr>
          <w:rFonts w:ascii="SimSun" w:hAnsi="SimSun" w:eastAsia="SimSun" w:cs="SimSun"/>
          <w:sz w:val="44"/>
          <w:szCs w:val="44"/>
          <w:spacing w:val="37"/>
        </w:rPr>
        <w:t xml:space="preserve"> </w:t>
      </w:r>
      <w:r>
        <w:rPr>
          <w:rFonts w:ascii="SimSun" w:hAnsi="SimSun" w:eastAsia="SimSun" w:cs="SimSun"/>
          <w:sz w:val="44"/>
          <w:szCs w:val="44"/>
          <w:b/>
          <w:bCs/>
          <w:spacing w:val="-36"/>
          <w:w w:val="98"/>
        </w:rPr>
        <w:t>工程款支付担保管理实施办法</w:t>
      </w:r>
    </w:p>
    <w:p>
      <w:pPr>
        <w:spacing w:line="249" w:lineRule="auto"/>
        <w:rPr>
          <w:rFonts w:ascii="Arial"/>
          <w:sz w:val="21"/>
        </w:rPr>
      </w:pPr>
      <w:r/>
    </w:p>
    <w:p>
      <w:pPr>
        <w:ind w:left="3189"/>
        <w:spacing w:before="104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5"/>
        </w:rPr>
        <w:t>第一章</w:t>
      </w:r>
      <w:r>
        <w:rPr>
          <w:rFonts w:ascii="SimHei" w:hAnsi="SimHei" w:eastAsia="SimHei" w:cs="SimHei"/>
          <w:sz w:val="32"/>
          <w:szCs w:val="32"/>
          <w:spacing w:val="156"/>
        </w:rPr>
        <w:t xml:space="preserve"> </w:t>
      </w:r>
      <w:r>
        <w:rPr>
          <w:rFonts w:ascii="SimHei" w:hAnsi="SimHei" w:eastAsia="SimHei" w:cs="SimHei"/>
          <w:sz w:val="32"/>
          <w:szCs w:val="32"/>
          <w:b/>
          <w:bCs/>
          <w:spacing w:val="-5"/>
        </w:rPr>
        <w:t>总</w:t>
      </w:r>
      <w:r>
        <w:rPr>
          <w:rFonts w:ascii="SimHei" w:hAnsi="SimHei" w:eastAsia="SimHei" w:cs="SimHei"/>
          <w:sz w:val="32"/>
          <w:szCs w:val="32"/>
          <w:spacing w:val="-5"/>
        </w:rPr>
        <w:t xml:space="preserve">    </w:t>
      </w:r>
      <w:r>
        <w:rPr>
          <w:rFonts w:ascii="SimHei" w:hAnsi="SimHei" w:eastAsia="SimHei" w:cs="SimHei"/>
          <w:sz w:val="32"/>
          <w:szCs w:val="32"/>
          <w:spacing w:val="-5"/>
        </w:rPr>
        <w:t>则</w:t>
      </w:r>
    </w:p>
    <w:p>
      <w:pPr>
        <w:spacing w:line="378" w:lineRule="auto"/>
        <w:rPr>
          <w:rFonts w:ascii="Arial"/>
          <w:sz w:val="21"/>
        </w:rPr>
      </w:pPr>
      <w:r/>
    </w:p>
    <w:p>
      <w:pPr>
        <w:pStyle w:val="BodyText"/>
        <w:ind w:firstLine="685"/>
        <w:spacing w:before="107" w:line="306" w:lineRule="auto"/>
        <w:rPr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spacing w:val="-2"/>
        </w:rPr>
        <w:t>第一条</w:t>
      </w:r>
      <w:r>
        <w:rPr>
          <w:rFonts w:ascii="SimHei" w:hAnsi="SimHei" w:eastAsia="SimHei" w:cs="SimHei"/>
          <w:sz w:val="33"/>
          <w:szCs w:val="33"/>
          <w:spacing w:val="148"/>
        </w:rPr>
        <w:t xml:space="preserve"> </w:t>
      </w:r>
      <w:r>
        <w:rPr>
          <w:sz w:val="33"/>
          <w:szCs w:val="33"/>
          <w:spacing w:val="-2"/>
        </w:rPr>
        <w:t>为依法保障建筑施工企业和农民工合法权益，发</w:t>
      </w:r>
      <w:r>
        <w:rPr>
          <w:sz w:val="33"/>
          <w:szCs w:val="33"/>
        </w:rPr>
        <w:t xml:space="preserve"> </w:t>
      </w:r>
      <w:r>
        <w:rPr>
          <w:sz w:val="33"/>
          <w:szCs w:val="33"/>
          <w:spacing w:val="-3"/>
        </w:rPr>
        <w:t>挥工程款支付担保在解决拖欠工程款和农民工工资问题中的重</w:t>
      </w:r>
      <w:r>
        <w:rPr>
          <w:sz w:val="33"/>
          <w:szCs w:val="33"/>
          <w:spacing w:val="4"/>
        </w:rPr>
        <w:t xml:space="preserve"> </w:t>
      </w:r>
      <w:r>
        <w:rPr>
          <w:sz w:val="33"/>
          <w:szCs w:val="33"/>
          <w:spacing w:val="2"/>
        </w:rPr>
        <w:t>要作用，根据《保障农民工工资支付条例》(国务院第724</w:t>
      </w:r>
      <w:r>
        <w:rPr>
          <w:sz w:val="33"/>
          <w:szCs w:val="33"/>
          <w:spacing w:val="2"/>
        </w:rPr>
        <w:t xml:space="preserve"> </w:t>
      </w:r>
      <w:r>
        <w:rPr>
          <w:sz w:val="33"/>
          <w:szCs w:val="33"/>
          <w:spacing w:val="2"/>
        </w:rPr>
        <w:t>号</w:t>
      </w:r>
      <w:r>
        <w:rPr>
          <w:sz w:val="33"/>
          <w:szCs w:val="33"/>
          <w:spacing w:val="1"/>
        </w:rPr>
        <w:t xml:space="preserve"> </w:t>
      </w:r>
      <w:r>
        <w:rPr>
          <w:sz w:val="33"/>
          <w:szCs w:val="33"/>
          <w:spacing w:val="3"/>
        </w:rPr>
        <w:t>令)、住房和城乡建设部等部门《关于加快推进房屋建筑和市</w:t>
      </w:r>
      <w:r>
        <w:rPr>
          <w:sz w:val="33"/>
          <w:szCs w:val="33"/>
        </w:rPr>
        <w:t xml:space="preserve"> </w:t>
      </w:r>
      <w:r>
        <w:rPr>
          <w:sz w:val="33"/>
          <w:szCs w:val="33"/>
          <w:spacing w:val="43"/>
        </w:rPr>
        <w:t>政基础设施工程实行工程担保制度的指导意见》(建市</w:t>
      </w:r>
      <w:r>
        <w:rPr>
          <w:sz w:val="33"/>
          <w:szCs w:val="33"/>
          <w:spacing w:val="18"/>
        </w:rPr>
        <w:t xml:space="preserve"> </w:t>
      </w:r>
      <w:r>
        <w:rPr>
          <w:sz w:val="33"/>
          <w:szCs w:val="33"/>
          <w:color w:val="103040"/>
          <w:spacing w:val="-4"/>
        </w:rPr>
        <w:t>〔2019〕68</w:t>
      </w:r>
      <w:r>
        <w:rPr>
          <w:sz w:val="33"/>
          <w:szCs w:val="33"/>
          <w:color w:val="103040"/>
          <w:spacing w:val="59"/>
        </w:rPr>
        <w:t xml:space="preserve"> </w:t>
      </w:r>
      <w:r>
        <w:rPr>
          <w:sz w:val="33"/>
          <w:szCs w:val="33"/>
          <w:spacing w:val="-4"/>
        </w:rPr>
        <w:t>号)等相关法规、规范性文件，结合我省实际，制</w:t>
      </w:r>
      <w:r>
        <w:rPr>
          <w:sz w:val="33"/>
          <w:szCs w:val="33"/>
        </w:rPr>
        <w:t xml:space="preserve"> </w:t>
      </w:r>
      <w:r>
        <w:rPr>
          <w:sz w:val="33"/>
          <w:szCs w:val="33"/>
          <w:spacing w:val="8"/>
        </w:rPr>
        <w:t>定本实施办法。</w:t>
      </w:r>
      <w:r>
        <w:rPr>
          <w:sz w:val="33"/>
          <w:szCs w:val="33"/>
          <w:color w:val="FF3000"/>
          <w:spacing w:val="8"/>
        </w:rPr>
        <w:t>一</w:t>
      </w:r>
    </w:p>
    <w:p>
      <w:pPr>
        <w:pStyle w:val="BodyText"/>
        <w:ind w:left="45" w:right="13" w:firstLine="639"/>
        <w:spacing w:before="258" w:line="312" w:lineRule="auto"/>
        <w:rPr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8"/>
        </w:rPr>
        <w:t>第二条</w:t>
      </w:r>
      <w:r>
        <w:rPr>
          <w:rFonts w:ascii="SimHei" w:hAnsi="SimHei" w:eastAsia="SimHei" w:cs="SimHei"/>
          <w:sz w:val="32"/>
          <w:szCs w:val="32"/>
          <w:spacing w:val="143"/>
        </w:rPr>
        <w:t xml:space="preserve"> </w:t>
      </w:r>
      <w:r>
        <w:rPr>
          <w:sz w:val="32"/>
          <w:szCs w:val="32"/>
          <w:spacing w:val="8"/>
        </w:rPr>
        <w:t>工程款支付担保，是指为保证建设单</w:t>
      </w:r>
      <w:r>
        <w:rPr>
          <w:sz w:val="32"/>
          <w:szCs w:val="32"/>
          <w:spacing w:val="7"/>
        </w:rPr>
        <w:t>位履行施工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spacing w:val="17"/>
        </w:rPr>
        <w:t>合同或工程总承包合同(以下统称“工程合同”)约定的工程</w:t>
      </w:r>
      <w:r>
        <w:rPr>
          <w:sz w:val="32"/>
          <w:szCs w:val="32"/>
          <w:spacing w:val="3"/>
        </w:rPr>
        <w:t xml:space="preserve"> </w:t>
      </w:r>
      <w:r>
        <w:rPr>
          <w:sz w:val="32"/>
          <w:szCs w:val="32"/>
          <w:spacing w:val="12"/>
        </w:rPr>
        <w:t>款支付义务，由担保人为建设单位向承包单位(包括工程总承</w:t>
      </w:r>
      <w:r>
        <w:rPr>
          <w:sz w:val="32"/>
          <w:szCs w:val="32"/>
          <w:spacing w:val="7"/>
        </w:rPr>
        <w:t xml:space="preserve"> </w:t>
      </w:r>
      <w:r>
        <w:rPr>
          <w:sz w:val="32"/>
          <w:szCs w:val="32"/>
          <w:spacing w:val="5"/>
        </w:rPr>
        <w:t>包单位、施工总承包单位、直接承包建设单位发包工程的专业</w:t>
      </w:r>
      <w:r>
        <w:rPr>
          <w:sz w:val="32"/>
          <w:szCs w:val="32"/>
          <w:spacing w:val="5"/>
        </w:rPr>
        <w:t xml:space="preserve"> </w:t>
      </w:r>
      <w:r>
        <w:rPr>
          <w:sz w:val="32"/>
          <w:szCs w:val="32"/>
          <w:spacing w:val="2"/>
        </w:rPr>
        <w:t>承包单位，下同)出具的保证按时、足额支付工程款的担保。</w:t>
      </w:r>
    </w:p>
    <w:p>
      <w:pPr>
        <w:pStyle w:val="BodyText"/>
        <w:ind w:left="45" w:right="86" w:firstLine="639"/>
        <w:spacing w:before="175" w:line="284" w:lineRule="auto"/>
        <w:rPr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4"/>
        </w:rPr>
        <w:t>第三条</w:t>
      </w:r>
      <w:r>
        <w:rPr>
          <w:rFonts w:ascii="SimHei" w:hAnsi="SimHei" w:eastAsia="SimHei" w:cs="SimHei"/>
          <w:sz w:val="32"/>
          <w:szCs w:val="32"/>
          <w:spacing w:val="4"/>
        </w:rPr>
        <w:t xml:space="preserve">  </w:t>
      </w:r>
      <w:r>
        <w:rPr>
          <w:sz w:val="32"/>
          <w:szCs w:val="32"/>
          <w:spacing w:val="4"/>
        </w:rPr>
        <w:t>工程款支付担保范围包括工程预付</w:t>
      </w:r>
      <w:r>
        <w:rPr>
          <w:sz w:val="32"/>
          <w:szCs w:val="32"/>
          <w:spacing w:val="3"/>
        </w:rPr>
        <w:t>款、进度款、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spacing w:val="-5"/>
        </w:rPr>
        <w:t>工程结算尾款等除工程质量保证金之外的所有应付款项。</w:t>
      </w:r>
    </w:p>
    <w:p>
      <w:pPr>
        <w:pStyle w:val="BodyText"/>
        <w:ind w:left="45" w:right="18" w:firstLine="639"/>
        <w:spacing w:before="187" w:line="290" w:lineRule="auto"/>
        <w:rPr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spacing w:val="-8"/>
        </w:rPr>
        <w:t>第四条</w:t>
      </w:r>
      <w:r>
        <w:rPr>
          <w:rFonts w:ascii="SimHei" w:hAnsi="SimHei" w:eastAsia="SimHei" w:cs="SimHei"/>
          <w:sz w:val="33"/>
          <w:szCs w:val="33"/>
          <w:spacing w:val="-8"/>
        </w:rPr>
        <w:t xml:space="preserve">  </w:t>
      </w:r>
      <w:r>
        <w:rPr>
          <w:sz w:val="33"/>
          <w:szCs w:val="33"/>
          <w:spacing w:val="-8"/>
        </w:rPr>
        <w:t>湖北省行政区域内合同价款在400</w:t>
      </w:r>
      <w:r>
        <w:rPr>
          <w:sz w:val="33"/>
          <w:szCs w:val="33"/>
          <w:spacing w:val="-9"/>
        </w:rPr>
        <w:t>万元以上(含400</w:t>
      </w:r>
      <w:r>
        <w:rPr>
          <w:sz w:val="33"/>
          <w:szCs w:val="33"/>
        </w:rPr>
        <w:t xml:space="preserve"> </w:t>
      </w:r>
      <w:r>
        <w:rPr>
          <w:sz w:val="33"/>
          <w:szCs w:val="33"/>
          <w:spacing w:val="6"/>
        </w:rPr>
        <w:t>万元)的房屋建筑和市政基础设施工程项目(以下简称房屋市</w:t>
      </w:r>
      <w:r>
        <w:rPr>
          <w:sz w:val="33"/>
          <w:szCs w:val="33"/>
          <w:spacing w:val="18"/>
        </w:rPr>
        <w:t xml:space="preserve"> </w:t>
      </w:r>
      <w:r>
        <w:rPr>
          <w:sz w:val="33"/>
          <w:szCs w:val="33"/>
          <w:spacing w:val="-12"/>
        </w:rPr>
        <w:t>政工程)应当实行工程款支付担保。涉及国家安全、国家秘密、</w:t>
      </w:r>
    </w:p>
    <w:p>
      <w:pPr>
        <w:spacing w:line="290" w:lineRule="auto"/>
        <w:sectPr>
          <w:footerReference w:type="default" r:id="rId7"/>
          <w:pgSz w:w="11900" w:h="16840"/>
          <w:pgMar w:top="1431" w:right="1403" w:bottom="1923" w:left="1624" w:header="0" w:footer="1568" w:gutter="0"/>
        </w:sectPr>
        <w:rPr>
          <w:sz w:val="33"/>
          <w:szCs w:val="33"/>
        </w:rPr>
      </w:pPr>
    </w:p>
    <w:p>
      <w:pPr>
        <w:spacing w:line="367" w:lineRule="auto"/>
        <w:rPr>
          <w:rFonts w:ascii="Arial"/>
          <w:sz w:val="21"/>
        </w:rPr>
      </w:pPr>
      <w:r/>
    </w:p>
    <w:p>
      <w:pPr>
        <w:pStyle w:val="BodyText"/>
        <w:ind w:left="314"/>
        <w:spacing w:before="108" w:line="222" w:lineRule="auto"/>
        <w:rPr>
          <w:sz w:val="33"/>
          <w:szCs w:val="33"/>
        </w:rPr>
      </w:pPr>
      <w:r>
        <w:rPr>
          <w:sz w:val="33"/>
          <w:szCs w:val="33"/>
          <w:spacing w:val="-28"/>
        </w:rPr>
        <w:t>抢险救灾等特殊情况的工程项目，采取“一事一议”方式处理。</w:t>
      </w:r>
    </w:p>
    <w:p>
      <w:pPr>
        <w:pStyle w:val="BodyText"/>
        <w:ind w:left="314" w:right="8" w:firstLine="649"/>
        <w:spacing w:before="180" w:line="300" w:lineRule="auto"/>
        <w:rPr/>
      </w:pPr>
      <w:r>
        <w:rPr>
          <w:spacing w:val="-23"/>
        </w:rPr>
        <w:t>政府投资项目必须落实资金或者明确资金来源，并按照相</w:t>
      </w:r>
      <w:r>
        <w:rPr/>
        <w:t xml:space="preserve"> </w:t>
      </w:r>
      <w:r>
        <w:rPr>
          <w:spacing w:val="-33"/>
        </w:rPr>
        <w:t>关规定及时、足额办理政府投资资金拨付。</w:t>
      </w:r>
    </w:p>
    <w:p>
      <w:pPr>
        <w:pStyle w:val="BodyText"/>
        <w:ind w:left="314" w:firstLine="654"/>
        <w:spacing w:before="10" w:line="322" w:lineRule="auto"/>
        <w:jc w:val="both"/>
        <w:rPr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b/>
          <w:bCs/>
          <w:spacing w:val="-3"/>
        </w:rPr>
        <w:t>第五条</w:t>
      </w:r>
      <w:r>
        <w:rPr>
          <w:rFonts w:ascii="SimHei" w:hAnsi="SimHei" w:eastAsia="SimHei" w:cs="SimHei"/>
          <w:sz w:val="33"/>
          <w:szCs w:val="33"/>
          <w:spacing w:val="155"/>
        </w:rPr>
        <w:t xml:space="preserve"> </w:t>
      </w:r>
      <w:r>
        <w:rPr>
          <w:sz w:val="33"/>
          <w:szCs w:val="33"/>
          <w:spacing w:val="-3"/>
        </w:rPr>
        <w:t>依法必须招标的房屋市政工程，建设单位应当在</w:t>
      </w:r>
      <w:r>
        <w:rPr>
          <w:sz w:val="33"/>
          <w:szCs w:val="33"/>
        </w:rPr>
        <w:t xml:space="preserve"> </w:t>
      </w:r>
      <w:r>
        <w:rPr>
          <w:sz w:val="33"/>
          <w:szCs w:val="33"/>
          <w:spacing w:val="-4"/>
        </w:rPr>
        <w:t>招标文件中承诺提供工程款支付担保事项。建设单位和承包单</w:t>
      </w:r>
      <w:r>
        <w:rPr>
          <w:sz w:val="33"/>
          <w:szCs w:val="33"/>
          <w:spacing w:val="9"/>
        </w:rPr>
        <w:t xml:space="preserve"> </w:t>
      </w:r>
      <w:r>
        <w:rPr>
          <w:sz w:val="33"/>
          <w:szCs w:val="33"/>
          <w:spacing w:val="-3"/>
        </w:rPr>
        <w:t>位签订合同时，应将工程款支付担保文书作</w:t>
      </w:r>
      <w:r>
        <w:rPr>
          <w:sz w:val="33"/>
          <w:szCs w:val="33"/>
          <w:spacing w:val="-4"/>
        </w:rPr>
        <w:t>为建设工程合同的</w:t>
      </w:r>
      <w:r>
        <w:rPr>
          <w:sz w:val="33"/>
          <w:szCs w:val="33"/>
        </w:rPr>
        <w:t xml:space="preserve"> </w:t>
      </w:r>
      <w:r>
        <w:rPr>
          <w:sz w:val="33"/>
          <w:szCs w:val="33"/>
          <w:spacing w:val="-12"/>
        </w:rPr>
        <w:t>组成部分，施工合同金额应与中标通知书金额相一致。</w:t>
      </w:r>
    </w:p>
    <w:p>
      <w:pPr>
        <w:ind w:left="3479"/>
        <w:spacing w:before="269" w:line="222" w:lineRule="auto"/>
        <w:outlineLvl w:val="1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8"/>
        </w:rPr>
        <w:t>第二章</w:t>
      </w:r>
      <w:r>
        <w:rPr>
          <w:rFonts w:ascii="SimHei" w:hAnsi="SimHei" w:eastAsia="SimHei" w:cs="SimHei"/>
          <w:sz w:val="32"/>
          <w:szCs w:val="32"/>
          <w:spacing w:val="-8"/>
        </w:rPr>
        <w:t xml:space="preserve">  </w:t>
      </w:r>
      <w:r>
        <w:rPr>
          <w:rFonts w:ascii="SimHei" w:hAnsi="SimHei" w:eastAsia="SimHei" w:cs="SimHei"/>
          <w:sz w:val="32"/>
          <w:szCs w:val="32"/>
          <w:b/>
          <w:bCs/>
          <w:spacing w:val="-8"/>
        </w:rPr>
        <w:t>基本要求</w:t>
      </w:r>
    </w:p>
    <w:p>
      <w:pPr>
        <w:spacing w:line="432" w:lineRule="auto"/>
        <w:rPr>
          <w:rFonts w:ascii="Arial"/>
          <w:sz w:val="21"/>
        </w:rPr>
      </w:pPr>
      <w:r/>
    </w:p>
    <w:p>
      <w:pPr>
        <w:pStyle w:val="BodyText"/>
        <w:ind w:left="314" w:firstLine="654"/>
        <w:spacing w:before="108" w:line="308" w:lineRule="auto"/>
        <w:rPr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b/>
          <w:bCs/>
          <w:spacing w:val="-3"/>
        </w:rPr>
        <w:t>第六条</w:t>
      </w:r>
      <w:r>
        <w:rPr>
          <w:rFonts w:ascii="SimHei" w:hAnsi="SimHei" w:eastAsia="SimHei" w:cs="SimHei"/>
          <w:sz w:val="33"/>
          <w:szCs w:val="33"/>
          <w:spacing w:val="-3"/>
        </w:rPr>
        <w:t xml:space="preserve">  </w:t>
      </w:r>
      <w:r>
        <w:rPr>
          <w:sz w:val="33"/>
          <w:szCs w:val="33"/>
          <w:spacing w:val="-3"/>
        </w:rPr>
        <w:t>工程款支付担保应采用银行保函、工程</w:t>
      </w:r>
      <w:r>
        <w:rPr>
          <w:sz w:val="33"/>
          <w:szCs w:val="33"/>
          <w:spacing w:val="-4"/>
        </w:rPr>
        <w:t>保证保险</w:t>
      </w:r>
      <w:r>
        <w:rPr>
          <w:sz w:val="33"/>
          <w:szCs w:val="33"/>
        </w:rPr>
        <w:t xml:space="preserve"> </w:t>
      </w:r>
      <w:r>
        <w:rPr>
          <w:sz w:val="33"/>
          <w:szCs w:val="33"/>
          <w:spacing w:val="-5"/>
        </w:rPr>
        <w:t>等形式的担保文书。开具担保文书的担保人应是在省内进行市</w:t>
      </w:r>
      <w:r>
        <w:rPr>
          <w:sz w:val="33"/>
          <w:szCs w:val="33"/>
          <w:spacing w:val="5"/>
        </w:rPr>
        <w:t xml:space="preserve"> </w:t>
      </w:r>
      <w:r>
        <w:rPr>
          <w:sz w:val="33"/>
          <w:szCs w:val="33"/>
          <w:spacing w:val="-4"/>
        </w:rPr>
        <w:t>场主体登记且有相关资质及业务许可的商业银行或保险公司分</w:t>
      </w:r>
      <w:r>
        <w:rPr>
          <w:sz w:val="33"/>
          <w:szCs w:val="33"/>
          <w:spacing w:val="7"/>
        </w:rPr>
        <w:t xml:space="preserve"> </w:t>
      </w:r>
      <w:r>
        <w:rPr>
          <w:sz w:val="33"/>
          <w:szCs w:val="33"/>
          <w:spacing w:val="-5"/>
        </w:rPr>
        <w:t>支机构。其中，开具担保文书的银行应是依法登记并取得总行</w:t>
      </w:r>
      <w:r>
        <w:rPr>
          <w:sz w:val="33"/>
          <w:szCs w:val="33"/>
          <w:spacing w:val="6"/>
        </w:rPr>
        <w:t xml:space="preserve"> </w:t>
      </w:r>
      <w:r>
        <w:rPr>
          <w:sz w:val="33"/>
          <w:szCs w:val="33"/>
          <w:spacing w:val="-4"/>
        </w:rPr>
        <w:t>开展工程担保业务书面授权的分行、支行以上银行；开具担保</w:t>
      </w:r>
      <w:r>
        <w:rPr>
          <w:sz w:val="33"/>
          <w:szCs w:val="33"/>
          <w:spacing w:val="12"/>
        </w:rPr>
        <w:t xml:space="preserve"> </w:t>
      </w:r>
      <w:r>
        <w:rPr>
          <w:sz w:val="33"/>
          <w:szCs w:val="33"/>
          <w:spacing w:val="-5"/>
        </w:rPr>
        <w:t>文书的保险公司应是取得开展建设工程保证保险业务资格许可</w:t>
      </w:r>
      <w:r>
        <w:rPr>
          <w:sz w:val="33"/>
          <w:szCs w:val="33"/>
          <w:spacing w:val="8"/>
        </w:rPr>
        <w:t xml:space="preserve"> </w:t>
      </w:r>
      <w:r>
        <w:rPr>
          <w:sz w:val="33"/>
          <w:szCs w:val="33"/>
          <w:spacing w:val="-4"/>
        </w:rPr>
        <w:t>并依法登记的保险公司。建设单位应当符合金融机</w:t>
      </w:r>
      <w:r>
        <w:rPr>
          <w:sz w:val="33"/>
          <w:szCs w:val="33"/>
          <w:spacing w:val="-5"/>
        </w:rPr>
        <w:t>构关于保函</w:t>
      </w:r>
      <w:r>
        <w:rPr>
          <w:sz w:val="33"/>
          <w:szCs w:val="33"/>
        </w:rPr>
        <w:t xml:space="preserve"> </w:t>
      </w:r>
      <w:r>
        <w:rPr>
          <w:sz w:val="33"/>
          <w:szCs w:val="33"/>
          <w:spacing w:val="-15"/>
        </w:rPr>
        <w:t>开立的客户准入和业务办理条件。</w:t>
      </w:r>
    </w:p>
    <w:p>
      <w:pPr>
        <w:pStyle w:val="BodyText"/>
        <w:ind w:left="969"/>
        <w:spacing w:before="238" w:line="221" w:lineRule="auto"/>
        <w:rPr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8"/>
        </w:rPr>
        <w:t>第七条</w:t>
      </w:r>
      <w:r>
        <w:rPr>
          <w:rFonts w:ascii="SimHei" w:hAnsi="SimHei" w:eastAsia="SimHei" w:cs="SimHei"/>
          <w:sz w:val="32"/>
          <w:szCs w:val="32"/>
          <w:spacing w:val="149"/>
        </w:rPr>
        <w:t xml:space="preserve"> </w:t>
      </w:r>
      <w:r>
        <w:rPr>
          <w:sz w:val="32"/>
          <w:szCs w:val="32"/>
          <w:spacing w:val="-8"/>
        </w:rPr>
        <w:t>担保人应具备下列条件：</w:t>
      </w:r>
    </w:p>
    <w:p>
      <w:pPr>
        <w:pStyle w:val="BodyText"/>
        <w:ind w:left="1125"/>
        <w:spacing w:before="177" w:line="220" w:lineRule="auto"/>
        <w:rPr>
          <w:sz w:val="32"/>
          <w:szCs w:val="32"/>
        </w:rPr>
      </w:pPr>
      <w:r>
        <w:rPr>
          <w:sz w:val="32"/>
          <w:szCs w:val="32"/>
          <w:spacing w:val="5"/>
        </w:rPr>
        <w:t>(一)依法注册并经有关业务监管部门批准。</w:t>
      </w:r>
    </w:p>
    <w:p>
      <w:pPr>
        <w:pStyle w:val="BodyText"/>
        <w:ind w:left="1125"/>
        <w:spacing w:before="210" w:line="221" w:lineRule="auto"/>
        <w:rPr>
          <w:sz w:val="33"/>
          <w:szCs w:val="33"/>
        </w:rPr>
      </w:pPr>
      <w:r>
        <w:rPr>
          <w:sz w:val="33"/>
          <w:szCs w:val="33"/>
          <w:spacing w:val="-5"/>
        </w:rPr>
        <w:t>(二)有符合法律、法规和相关政策规定的公司章程。</w:t>
      </w:r>
    </w:p>
    <w:p>
      <w:pPr>
        <w:pStyle w:val="BodyText"/>
        <w:ind w:left="1125"/>
        <w:spacing w:before="205" w:line="221" w:lineRule="auto"/>
        <w:rPr>
          <w:sz w:val="32"/>
          <w:szCs w:val="32"/>
        </w:rPr>
      </w:pPr>
      <w:r>
        <w:rPr>
          <w:sz w:val="32"/>
          <w:szCs w:val="32"/>
          <w:spacing w:val="7"/>
        </w:rPr>
        <w:t>(三)有符合规定的注册资本。</w:t>
      </w:r>
    </w:p>
    <w:p>
      <w:pPr>
        <w:pStyle w:val="BodyText"/>
        <w:ind w:left="1125"/>
        <w:spacing w:before="196" w:line="220" w:lineRule="auto"/>
        <w:rPr>
          <w:sz w:val="32"/>
          <w:szCs w:val="32"/>
        </w:rPr>
      </w:pPr>
      <w:r>
        <w:rPr>
          <w:sz w:val="32"/>
          <w:szCs w:val="32"/>
          <w:spacing w:val="-2"/>
        </w:rPr>
        <w:t>(四)有健全的组织机构、业务操作规则、</w:t>
      </w:r>
      <w:r>
        <w:rPr>
          <w:sz w:val="32"/>
          <w:szCs w:val="32"/>
          <w:spacing w:val="-3"/>
        </w:rPr>
        <w:t>内部管理制度。</w:t>
      </w:r>
    </w:p>
    <w:p>
      <w:pPr>
        <w:spacing w:line="220" w:lineRule="auto"/>
        <w:sectPr>
          <w:footerReference w:type="default" r:id="rId8"/>
          <w:pgSz w:w="11900" w:h="16840"/>
          <w:pgMar w:top="1431" w:right="965" w:bottom="1784" w:left="1785" w:header="0" w:footer="1458" w:gutter="0"/>
        </w:sectPr>
        <w:rPr>
          <w:sz w:val="32"/>
          <w:szCs w:val="32"/>
        </w:rPr>
      </w:pPr>
    </w:p>
    <w:p>
      <w:pPr>
        <w:spacing w:line="338" w:lineRule="auto"/>
        <w:rPr>
          <w:rFonts w:ascii="Arial"/>
          <w:sz w:val="21"/>
        </w:rPr>
      </w:pPr>
      <w:r/>
    </w:p>
    <w:p>
      <w:pPr>
        <w:pStyle w:val="BodyText"/>
        <w:ind w:right="11" w:firstLine="789"/>
        <w:spacing w:before="108" w:line="285" w:lineRule="auto"/>
        <w:rPr>
          <w:sz w:val="33"/>
          <w:szCs w:val="33"/>
        </w:rPr>
      </w:pPr>
      <w:r>
        <w:rPr>
          <w:sz w:val="33"/>
          <w:szCs w:val="33"/>
          <w:spacing w:val="4"/>
        </w:rPr>
        <w:t>(五)有充足的偿付能力。保险公司须同时符合核心偿付</w:t>
      </w:r>
      <w:r>
        <w:rPr>
          <w:sz w:val="33"/>
          <w:szCs w:val="33"/>
        </w:rPr>
        <w:t xml:space="preserve"> </w:t>
      </w:r>
      <w:r>
        <w:rPr>
          <w:sz w:val="33"/>
          <w:szCs w:val="33"/>
          <w:spacing w:val="4"/>
        </w:rPr>
        <w:t>能力充足率不低于100%、综合偿付能力充足率不低于150%、</w:t>
      </w:r>
      <w:r>
        <w:rPr>
          <w:sz w:val="33"/>
          <w:szCs w:val="33"/>
          <w:spacing w:val="14"/>
        </w:rPr>
        <w:t xml:space="preserve"> </w:t>
      </w:r>
      <w:r>
        <w:rPr>
          <w:sz w:val="33"/>
          <w:szCs w:val="33"/>
          <w:spacing w:val="-12"/>
        </w:rPr>
        <w:t>风险综合评级在</w:t>
      </w:r>
      <w:r>
        <w:rPr>
          <w:rFonts w:ascii="Times New Roman" w:hAnsi="Times New Roman" w:eastAsia="Times New Roman" w:cs="Times New Roman"/>
          <w:sz w:val="33"/>
          <w:szCs w:val="33"/>
          <w:spacing w:val="-12"/>
        </w:rPr>
        <w:t>B</w:t>
      </w:r>
      <w:r>
        <w:rPr>
          <w:rFonts w:ascii="Times New Roman" w:hAnsi="Times New Roman" w:eastAsia="Times New Roman" w:cs="Times New Roman"/>
          <w:sz w:val="33"/>
          <w:szCs w:val="33"/>
          <w:spacing w:val="23"/>
        </w:rPr>
        <w:t xml:space="preserve"> </w:t>
      </w:r>
      <w:r>
        <w:rPr>
          <w:sz w:val="33"/>
          <w:szCs w:val="33"/>
          <w:spacing w:val="-12"/>
        </w:rPr>
        <w:t>类及以上三项指标。</w:t>
      </w:r>
    </w:p>
    <w:p>
      <w:pPr>
        <w:pStyle w:val="BodyText"/>
        <w:ind w:left="789"/>
        <w:spacing w:before="181" w:line="222" w:lineRule="auto"/>
        <w:rPr>
          <w:sz w:val="33"/>
          <w:szCs w:val="33"/>
        </w:rPr>
      </w:pPr>
      <w:r>
        <w:rPr>
          <w:sz w:val="33"/>
          <w:szCs w:val="33"/>
          <w:spacing w:val="-6"/>
        </w:rPr>
        <w:t>(六)有固定的办公经营场所和其他配套设施。</w:t>
      </w:r>
    </w:p>
    <w:p>
      <w:pPr>
        <w:pStyle w:val="BodyText"/>
        <w:ind w:right="9" w:firstLine="639"/>
        <w:spacing w:before="246" w:line="318" w:lineRule="auto"/>
        <w:jc w:val="both"/>
        <w:rPr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spacing w:val="-3"/>
        </w:rPr>
        <w:t>第八条</w:t>
      </w:r>
      <w:r>
        <w:rPr>
          <w:rFonts w:ascii="SimHei" w:hAnsi="SimHei" w:eastAsia="SimHei" w:cs="SimHei"/>
          <w:sz w:val="33"/>
          <w:szCs w:val="33"/>
          <w:spacing w:val="160"/>
        </w:rPr>
        <w:t xml:space="preserve"> </w:t>
      </w:r>
      <w:r>
        <w:rPr>
          <w:sz w:val="33"/>
          <w:szCs w:val="33"/>
          <w:spacing w:val="-3"/>
        </w:rPr>
        <w:t>住房和城乡建设部门通过湖北省房屋建筑和市政</w:t>
      </w:r>
      <w:r>
        <w:rPr>
          <w:sz w:val="33"/>
          <w:szCs w:val="33"/>
        </w:rPr>
        <w:t xml:space="preserve"> </w:t>
      </w:r>
      <w:r>
        <w:rPr>
          <w:sz w:val="33"/>
          <w:szCs w:val="33"/>
          <w:spacing w:val="14"/>
        </w:rPr>
        <w:t>基础设施工程款支付预警信息系统(以下简称“预警信息系</w:t>
      </w:r>
      <w:r>
        <w:rPr>
          <w:sz w:val="33"/>
          <w:szCs w:val="33"/>
          <w:spacing w:val="2"/>
        </w:rPr>
        <w:t xml:space="preserve"> </w:t>
      </w:r>
      <w:r>
        <w:rPr>
          <w:sz w:val="33"/>
          <w:szCs w:val="33"/>
          <w:spacing w:val="14"/>
        </w:rPr>
        <w:t>统”)建立担保人电子档案，记录担保人基本</w:t>
      </w:r>
      <w:r>
        <w:rPr>
          <w:sz w:val="33"/>
          <w:szCs w:val="33"/>
          <w:spacing w:val="13"/>
        </w:rPr>
        <w:t>情况、信用状</w:t>
      </w:r>
      <w:r>
        <w:rPr>
          <w:sz w:val="33"/>
          <w:szCs w:val="33"/>
        </w:rPr>
        <w:t xml:space="preserve"> </w:t>
      </w:r>
      <w:r>
        <w:rPr>
          <w:sz w:val="33"/>
          <w:szCs w:val="33"/>
          <w:spacing w:val="-17"/>
        </w:rPr>
        <w:t>况、担保能力、履约行为等信息。</w:t>
      </w:r>
    </w:p>
    <w:p>
      <w:pPr>
        <w:pStyle w:val="BodyText"/>
        <w:ind w:right="48" w:firstLine="639"/>
        <w:spacing w:before="2" w:line="326" w:lineRule="auto"/>
        <w:jc w:val="both"/>
        <w:rPr>
          <w:sz w:val="33"/>
          <w:szCs w:val="33"/>
        </w:rPr>
      </w:pPr>
      <w:r>
        <w:rPr>
          <w:sz w:val="33"/>
          <w:szCs w:val="33"/>
          <w:spacing w:val="-5"/>
        </w:rPr>
        <w:t>担保人需在预警信息系统进行登记，经复核符合担保人条</w:t>
      </w:r>
      <w:r>
        <w:rPr>
          <w:sz w:val="33"/>
          <w:szCs w:val="33"/>
          <w:spacing w:val="8"/>
        </w:rPr>
        <w:t xml:space="preserve"> </w:t>
      </w:r>
      <w:r>
        <w:rPr>
          <w:sz w:val="33"/>
          <w:szCs w:val="33"/>
          <w:spacing w:val="7"/>
        </w:rPr>
        <w:t>件的，予以公示。担保人在预警信息系统内开展支付担保业</w:t>
      </w:r>
      <w:r>
        <w:rPr>
          <w:sz w:val="33"/>
          <w:szCs w:val="33"/>
          <w:spacing w:val="8"/>
        </w:rPr>
        <w:t xml:space="preserve"> </w:t>
      </w:r>
      <w:r>
        <w:rPr>
          <w:sz w:val="33"/>
          <w:szCs w:val="33"/>
          <w:spacing w:val="-5"/>
        </w:rPr>
        <w:t>务，统一采用电子保函、保单的形式。担保人开具保</w:t>
      </w:r>
      <w:r>
        <w:rPr>
          <w:sz w:val="33"/>
          <w:szCs w:val="33"/>
          <w:spacing w:val="-6"/>
        </w:rPr>
        <w:t>函、保单</w:t>
      </w:r>
      <w:r>
        <w:rPr>
          <w:sz w:val="33"/>
          <w:szCs w:val="33"/>
        </w:rPr>
        <w:t xml:space="preserve"> </w:t>
      </w:r>
      <w:r>
        <w:rPr>
          <w:sz w:val="33"/>
          <w:szCs w:val="33"/>
          <w:spacing w:val="-5"/>
        </w:rPr>
        <w:t>的担保时间、担保金额、担保条款等信息将自动留痕。银行保</w:t>
      </w:r>
      <w:r>
        <w:rPr>
          <w:sz w:val="33"/>
          <w:szCs w:val="33"/>
        </w:rPr>
        <w:t xml:space="preserve"> </w:t>
      </w:r>
      <w:r>
        <w:rPr>
          <w:sz w:val="33"/>
          <w:szCs w:val="33"/>
          <w:spacing w:val="-5"/>
        </w:rPr>
        <w:t>函应是不可撤销见索即付的独立保函，保证保险条</w:t>
      </w:r>
      <w:r>
        <w:rPr>
          <w:sz w:val="33"/>
          <w:szCs w:val="33"/>
          <w:spacing w:val="-6"/>
        </w:rPr>
        <w:t>款应经金融</w:t>
      </w:r>
      <w:r>
        <w:rPr>
          <w:sz w:val="33"/>
          <w:szCs w:val="33"/>
        </w:rPr>
        <w:t xml:space="preserve"> </w:t>
      </w:r>
      <w:r>
        <w:rPr>
          <w:sz w:val="33"/>
          <w:szCs w:val="33"/>
          <w:spacing w:val="-19"/>
        </w:rPr>
        <w:t>监管部门批准或者备案。</w:t>
      </w:r>
    </w:p>
    <w:p>
      <w:pPr>
        <w:pStyle w:val="BodyText"/>
        <w:ind w:firstLine="639"/>
        <w:spacing w:before="2" w:line="334" w:lineRule="auto"/>
        <w:rPr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7"/>
        </w:rPr>
        <w:t>第九条</w:t>
      </w:r>
      <w:r>
        <w:rPr>
          <w:rFonts w:ascii="SimHei" w:hAnsi="SimHei" w:eastAsia="SimHei" w:cs="SimHei"/>
          <w:sz w:val="32"/>
          <w:szCs w:val="32"/>
          <w:spacing w:val="7"/>
        </w:rPr>
        <w:t xml:space="preserve">  </w:t>
      </w:r>
      <w:r>
        <w:rPr>
          <w:sz w:val="32"/>
          <w:szCs w:val="32"/>
          <w:spacing w:val="7"/>
        </w:rPr>
        <w:t>建设单位应当结合项目类型、投资额度、建设资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spacing w:val="-5"/>
        </w:rPr>
        <w:t>金准备情况，自行选择相应赔付能力的担保人。</w:t>
      </w:r>
    </w:p>
    <w:p>
      <w:pPr>
        <w:pStyle w:val="BodyText"/>
        <w:ind w:left="639"/>
        <w:spacing w:before="1" w:line="220" w:lineRule="auto"/>
        <w:rPr>
          <w:sz w:val="32"/>
          <w:szCs w:val="32"/>
        </w:rPr>
      </w:pPr>
      <w:r>
        <w:rPr>
          <w:sz w:val="32"/>
          <w:szCs w:val="32"/>
          <w:spacing w:val="-4"/>
        </w:rPr>
        <w:t>任何机构或个人不得强制建设单位选择指定的担保人。</w:t>
      </w:r>
    </w:p>
    <w:p>
      <w:pPr>
        <w:pStyle w:val="BodyText"/>
        <w:ind w:right="16" w:firstLine="639"/>
        <w:spacing w:before="201" w:line="307" w:lineRule="auto"/>
        <w:rPr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6"/>
        </w:rPr>
        <w:t>第十条</w:t>
      </w:r>
      <w:r>
        <w:rPr>
          <w:rFonts w:ascii="SimHei" w:hAnsi="SimHei" w:eastAsia="SimHei" w:cs="SimHei"/>
          <w:sz w:val="32"/>
          <w:szCs w:val="32"/>
          <w:spacing w:val="6"/>
        </w:rPr>
        <w:t xml:space="preserve">  </w:t>
      </w:r>
      <w:r>
        <w:rPr>
          <w:sz w:val="32"/>
          <w:szCs w:val="32"/>
          <w:spacing w:val="6"/>
        </w:rPr>
        <w:t>担保期限有效期应当设定为：开始时间为工程合</w:t>
      </w:r>
      <w:r>
        <w:rPr>
          <w:sz w:val="32"/>
          <w:szCs w:val="32"/>
          <w:spacing w:val="10"/>
        </w:rPr>
        <w:t xml:space="preserve"> </w:t>
      </w:r>
      <w:r>
        <w:rPr>
          <w:sz w:val="32"/>
          <w:szCs w:val="32"/>
          <w:spacing w:val="5"/>
        </w:rPr>
        <w:t>同签订之日，截止时间一般为工程结算款付清之</w:t>
      </w:r>
      <w:r>
        <w:rPr>
          <w:sz w:val="32"/>
          <w:szCs w:val="32"/>
          <w:spacing w:val="4"/>
        </w:rPr>
        <w:t>后60日。如因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spacing w:val="5"/>
        </w:rPr>
        <w:t>不可抗力原因，施工、结算或付款延期的，建设单位应在担保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spacing w:val="2"/>
        </w:rPr>
        <w:t>有效期满30日前申请办理担保延期手续。</w:t>
      </w:r>
    </w:p>
    <w:p>
      <w:pPr>
        <w:pStyle w:val="BodyText"/>
        <w:spacing w:before="181" w:line="221" w:lineRule="auto"/>
        <w:jc w:val="right"/>
        <w:rPr/>
      </w:pPr>
      <w:r>
        <w:rPr>
          <w:rFonts w:ascii="SimHei" w:hAnsi="SimHei" w:eastAsia="SimHei" w:cs="SimHei"/>
          <w:spacing w:val="-22"/>
        </w:rPr>
        <w:t>第十一条</w:t>
      </w:r>
      <w:r>
        <w:rPr>
          <w:rFonts w:ascii="SimHei" w:hAnsi="SimHei" w:eastAsia="SimHei" w:cs="SimHei"/>
          <w:spacing w:val="-22"/>
        </w:rPr>
        <w:t xml:space="preserve">  </w:t>
      </w:r>
      <w:r>
        <w:rPr>
          <w:spacing w:val="-22"/>
        </w:rPr>
        <w:t>建设单位应当根据本办法，通过预警</w:t>
      </w:r>
      <w:r>
        <w:rPr>
          <w:spacing w:val="-23"/>
        </w:rPr>
        <w:t>信息系统</w:t>
      </w:r>
    </w:p>
    <w:p>
      <w:pPr>
        <w:spacing w:line="221" w:lineRule="auto"/>
        <w:sectPr>
          <w:footerReference w:type="default" r:id="rId9"/>
          <w:pgSz w:w="11900" w:h="16840"/>
          <w:pgMar w:top="1431" w:right="1436" w:bottom="1816" w:left="1640" w:header="0" w:footer="1504" w:gutter="0"/>
        </w:sectPr>
        <w:rPr/>
      </w:pPr>
    </w:p>
    <w:p>
      <w:pPr>
        <w:spacing w:line="357" w:lineRule="auto"/>
        <w:rPr>
          <w:rFonts w:ascii="Arial"/>
          <w:sz w:val="21"/>
        </w:rPr>
      </w:pPr>
      <w:r/>
    </w:p>
    <w:p>
      <w:pPr>
        <w:pStyle w:val="BodyText"/>
        <w:ind w:left="364" w:right="13"/>
        <w:spacing w:before="108" w:line="310" w:lineRule="auto"/>
        <w:rPr>
          <w:sz w:val="33"/>
          <w:szCs w:val="33"/>
        </w:rPr>
      </w:pPr>
      <w:r>
        <w:rPr>
          <w:sz w:val="33"/>
          <w:szCs w:val="33"/>
          <w:spacing w:val="-4"/>
        </w:rPr>
        <w:t>办理工程款支付担保手续，工程款支付担保金额不得低于工程</w:t>
      </w:r>
      <w:r>
        <w:rPr>
          <w:sz w:val="33"/>
          <w:szCs w:val="33"/>
          <w:spacing w:val="11"/>
        </w:rPr>
        <w:t xml:space="preserve"> </w:t>
      </w:r>
      <w:r>
        <w:rPr>
          <w:sz w:val="33"/>
          <w:szCs w:val="33"/>
        </w:rPr>
        <w:t>承包合同价款的10%。</w:t>
      </w:r>
    </w:p>
    <w:p>
      <w:pPr>
        <w:pStyle w:val="BodyText"/>
        <w:ind w:left="364" w:right="12" w:firstLine="629"/>
        <w:spacing w:before="60" w:line="320" w:lineRule="auto"/>
        <w:rPr>
          <w:sz w:val="33"/>
          <w:szCs w:val="33"/>
        </w:rPr>
      </w:pPr>
      <w:r>
        <w:rPr>
          <w:sz w:val="33"/>
          <w:szCs w:val="33"/>
          <w:spacing w:val="18"/>
        </w:rPr>
        <w:t>工程承包合同价款超过5000万元人民币(含5000万元)</w:t>
      </w:r>
      <w:r>
        <w:rPr>
          <w:sz w:val="33"/>
          <w:szCs w:val="33"/>
          <w:spacing w:val="18"/>
        </w:rPr>
        <w:t xml:space="preserve"> </w:t>
      </w:r>
      <w:r>
        <w:rPr>
          <w:sz w:val="33"/>
          <w:szCs w:val="33"/>
          <w:spacing w:val="20"/>
        </w:rPr>
        <w:t>或建设工期超过12个月以上(含12个月)的建设项目，建设</w:t>
      </w:r>
      <w:r>
        <w:rPr>
          <w:sz w:val="33"/>
          <w:szCs w:val="33"/>
          <w:spacing w:val="2"/>
        </w:rPr>
        <w:t xml:space="preserve"> </w:t>
      </w:r>
      <w:r>
        <w:rPr>
          <w:sz w:val="33"/>
          <w:szCs w:val="33"/>
          <w:spacing w:val="-4"/>
        </w:rPr>
        <w:t>单位可按我省现行分段办理施工许可证的规定实行滚动担保。</w:t>
      </w:r>
      <w:r>
        <w:rPr>
          <w:sz w:val="33"/>
          <w:szCs w:val="33"/>
          <w:spacing w:val="12"/>
        </w:rPr>
        <w:t xml:space="preserve"> </w:t>
      </w:r>
      <w:r>
        <w:rPr>
          <w:sz w:val="33"/>
          <w:szCs w:val="33"/>
          <w:spacing w:val="-4"/>
        </w:rPr>
        <w:t>房屋建筑工程按照“基坑支护及土石方”“主体工程底板以下</w:t>
      </w:r>
      <w:r>
        <w:rPr>
          <w:sz w:val="33"/>
          <w:szCs w:val="33"/>
          <w:spacing w:val="12"/>
        </w:rPr>
        <w:t xml:space="preserve"> </w:t>
      </w:r>
      <w:r>
        <w:rPr>
          <w:sz w:val="33"/>
          <w:szCs w:val="33"/>
          <w:spacing w:val="8"/>
        </w:rPr>
        <w:t>(不含底板)”“主体工程底板以上”三个阶段滚动办理；市</w:t>
      </w:r>
      <w:r>
        <w:rPr>
          <w:sz w:val="33"/>
          <w:szCs w:val="33"/>
          <w:spacing w:val="14"/>
        </w:rPr>
        <w:t xml:space="preserve"> </w:t>
      </w:r>
      <w:r>
        <w:rPr>
          <w:sz w:val="33"/>
          <w:szCs w:val="33"/>
          <w:spacing w:val="8"/>
        </w:rPr>
        <w:t>政工程按照标段、里程、桩号分段(或部位)滚动办理。每段</w:t>
      </w:r>
      <w:r>
        <w:rPr>
          <w:sz w:val="33"/>
          <w:szCs w:val="33"/>
          <w:spacing w:val="16"/>
        </w:rPr>
        <w:t xml:space="preserve"> </w:t>
      </w:r>
      <w:r>
        <w:rPr>
          <w:sz w:val="33"/>
          <w:szCs w:val="33"/>
          <w:spacing w:val="2"/>
        </w:rPr>
        <w:t>滚动担保金额为该段合同金额的15%。滚动担保方案需经项目</w:t>
      </w:r>
      <w:r>
        <w:rPr>
          <w:sz w:val="33"/>
          <w:szCs w:val="33"/>
        </w:rPr>
        <w:t xml:space="preserve"> </w:t>
      </w:r>
      <w:r>
        <w:rPr>
          <w:sz w:val="33"/>
          <w:szCs w:val="33"/>
          <w:spacing w:val="-17"/>
        </w:rPr>
        <w:t>施工许可管理部门同意。</w:t>
      </w:r>
    </w:p>
    <w:p>
      <w:pPr>
        <w:pStyle w:val="BodyText"/>
        <w:ind w:left="364" w:right="2" w:firstLine="629"/>
        <w:spacing w:before="54" w:line="314" w:lineRule="auto"/>
        <w:rPr>
          <w:sz w:val="33"/>
          <w:szCs w:val="33"/>
        </w:rPr>
      </w:pPr>
      <w:r>
        <w:rPr>
          <w:sz w:val="33"/>
          <w:szCs w:val="33"/>
          <w:spacing w:val="-3"/>
        </w:rPr>
        <w:t>因设计变更、施工工艺变更、材料价格变动等引起工程造</w:t>
      </w:r>
      <w:r>
        <w:rPr>
          <w:sz w:val="33"/>
          <w:szCs w:val="33"/>
          <w:spacing w:val="18"/>
        </w:rPr>
        <w:t xml:space="preserve"> </w:t>
      </w:r>
      <w:r>
        <w:rPr>
          <w:sz w:val="33"/>
          <w:szCs w:val="33"/>
          <w:spacing w:val="-9"/>
        </w:rPr>
        <w:t>价浮动超过合同价款10%的，应当相应调整工程款支付担保。</w:t>
      </w:r>
    </w:p>
    <w:p>
      <w:pPr>
        <w:pStyle w:val="BodyText"/>
        <w:ind w:left="364" w:right="14" w:firstLine="629"/>
        <w:spacing w:before="47" w:line="319" w:lineRule="auto"/>
        <w:jc w:val="both"/>
        <w:rPr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spacing w:val="-3"/>
        </w:rPr>
        <w:t>第十二条</w:t>
      </w:r>
      <w:r>
        <w:rPr>
          <w:rFonts w:ascii="SimHei" w:hAnsi="SimHei" w:eastAsia="SimHei" w:cs="SimHei"/>
          <w:sz w:val="33"/>
          <w:szCs w:val="33"/>
          <w:spacing w:val="-3"/>
        </w:rPr>
        <w:t xml:space="preserve">  </w:t>
      </w:r>
      <w:r>
        <w:rPr>
          <w:sz w:val="33"/>
          <w:szCs w:val="33"/>
          <w:spacing w:val="-3"/>
        </w:rPr>
        <w:t>银行保函费用、保证保险保费具体由建设单位</w:t>
      </w:r>
      <w:r>
        <w:rPr>
          <w:sz w:val="33"/>
          <w:szCs w:val="33"/>
          <w:spacing w:val="7"/>
        </w:rPr>
        <w:t xml:space="preserve"> </w:t>
      </w:r>
      <w:r>
        <w:rPr>
          <w:sz w:val="33"/>
          <w:szCs w:val="33"/>
          <w:spacing w:val="-4"/>
        </w:rPr>
        <w:t>和担保人协商确定，保证保险费率不得超过向金融监管部门备</w:t>
      </w:r>
      <w:r>
        <w:rPr>
          <w:sz w:val="33"/>
          <w:szCs w:val="33"/>
          <w:spacing w:val="9"/>
        </w:rPr>
        <w:t xml:space="preserve"> </w:t>
      </w:r>
      <w:r>
        <w:rPr>
          <w:sz w:val="33"/>
          <w:szCs w:val="33"/>
          <w:spacing w:val="-4"/>
        </w:rPr>
        <w:t>案的费率范围。鼓励银行、保险机构根据建设单位信用情况，</w:t>
      </w:r>
      <w:r>
        <w:rPr>
          <w:sz w:val="33"/>
          <w:szCs w:val="33"/>
          <w:spacing w:val="9"/>
        </w:rPr>
        <w:t xml:space="preserve"> </w:t>
      </w:r>
      <w:r>
        <w:rPr>
          <w:sz w:val="33"/>
          <w:szCs w:val="33"/>
          <w:spacing w:val="-18"/>
        </w:rPr>
        <w:t>实行费率差别化制度。</w:t>
      </w:r>
    </w:p>
    <w:p>
      <w:pPr>
        <w:ind w:left="3515"/>
        <w:spacing w:before="241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2"/>
        </w:rPr>
        <w:t>第三章</w:t>
      </w:r>
      <w:r>
        <w:rPr>
          <w:rFonts w:ascii="SimHei" w:hAnsi="SimHei" w:eastAsia="SimHei" w:cs="SimHei"/>
          <w:sz w:val="32"/>
          <w:szCs w:val="32"/>
          <w:spacing w:val="152"/>
        </w:rPr>
        <w:t xml:space="preserve"> </w:t>
      </w:r>
      <w:r>
        <w:rPr>
          <w:rFonts w:ascii="SimHei" w:hAnsi="SimHei" w:eastAsia="SimHei" w:cs="SimHei"/>
          <w:sz w:val="32"/>
          <w:szCs w:val="32"/>
          <w:spacing w:val="-2"/>
        </w:rPr>
        <w:t>实施程序</w:t>
      </w:r>
    </w:p>
    <w:p>
      <w:pPr>
        <w:spacing w:line="446" w:lineRule="auto"/>
        <w:rPr>
          <w:rFonts w:ascii="Arial"/>
          <w:sz w:val="21"/>
        </w:rPr>
      </w:pPr>
      <w:r/>
    </w:p>
    <w:p>
      <w:pPr>
        <w:pStyle w:val="BodyText"/>
        <w:ind w:left="364" w:firstLine="629"/>
        <w:spacing w:before="105" w:line="329" w:lineRule="auto"/>
        <w:jc w:val="both"/>
        <w:rPr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7"/>
        </w:rPr>
        <w:t>第十三条</w:t>
      </w:r>
      <w:r>
        <w:rPr>
          <w:rFonts w:ascii="SimHei" w:hAnsi="SimHei" w:eastAsia="SimHei" w:cs="SimHei"/>
          <w:sz w:val="32"/>
          <w:szCs w:val="32"/>
          <w:spacing w:val="7"/>
        </w:rPr>
        <w:t xml:space="preserve">  </w:t>
      </w:r>
      <w:r>
        <w:rPr>
          <w:sz w:val="32"/>
          <w:szCs w:val="32"/>
          <w:spacing w:val="7"/>
        </w:rPr>
        <w:t>承包单位应当通过预警信息系统，依照工程合</w:t>
      </w:r>
      <w:r>
        <w:rPr>
          <w:sz w:val="32"/>
          <w:szCs w:val="32"/>
          <w:spacing w:val="14"/>
        </w:rPr>
        <w:t xml:space="preserve"> </w:t>
      </w:r>
      <w:r>
        <w:rPr>
          <w:sz w:val="32"/>
          <w:szCs w:val="32"/>
          <w:spacing w:val="6"/>
        </w:rPr>
        <w:t>同准确填写工程款支付分段周期各节点信息，支付节点信息提</w:t>
      </w:r>
      <w:r>
        <w:rPr>
          <w:sz w:val="32"/>
          <w:szCs w:val="32"/>
          <w:spacing w:val="10"/>
        </w:rPr>
        <w:t xml:space="preserve"> </w:t>
      </w:r>
      <w:r>
        <w:rPr>
          <w:sz w:val="32"/>
          <w:szCs w:val="32"/>
          <w:spacing w:val="-6"/>
        </w:rPr>
        <w:t>交完成后不得自行变更。</w:t>
      </w:r>
    </w:p>
    <w:p>
      <w:pPr>
        <w:pStyle w:val="BodyText"/>
        <w:spacing w:before="1" w:line="221" w:lineRule="auto"/>
        <w:jc w:val="right"/>
        <w:rPr/>
      </w:pPr>
      <w:r>
        <w:rPr>
          <w:spacing w:val="-23"/>
        </w:rPr>
        <w:t>工程依据周期进度或者形象进度确定工程款过程结算频次</w:t>
      </w:r>
    </w:p>
    <w:p>
      <w:pPr>
        <w:spacing w:line="221" w:lineRule="auto"/>
        <w:sectPr>
          <w:footerReference w:type="default" r:id="rId10"/>
          <w:pgSz w:w="11900" w:h="16840"/>
          <w:pgMar w:top="1431" w:right="922" w:bottom="1816" w:left="1785" w:header="0" w:footer="1504" w:gutter="0"/>
        </w:sectPr>
        <w:rPr/>
      </w:pPr>
    </w:p>
    <w:p>
      <w:pPr>
        <w:spacing w:line="321" w:lineRule="auto"/>
        <w:rPr>
          <w:rFonts w:ascii="Arial"/>
          <w:sz w:val="21"/>
        </w:rPr>
      </w:pPr>
      <w:r/>
    </w:p>
    <w:p>
      <w:pPr>
        <w:pStyle w:val="BodyText"/>
        <w:ind w:right="105"/>
        <w:spacing w:before="114" w:line="307" w:lineRule="auto"/>
        <w:rPr/>
      </w:pPr>
      <w:r>
        <w:rPr>
          <w:spacing w:val="-19"/>
        </w:rPr>
        <w:t>时，一年原则上结算频次不低于4次；技术</w:t>
      </w:r>
      <w:r>
        <w:rPr>
          <w:spacing w:val="-20"/>
        </w:rPr>
        <w:t>特别复杂的项目，</w:t>
      </w:r>
      <w:r>
        <w:rPr/>
        <w:t xml:space="preserve"> </w:t>
      </w:r>
      <w:r>
        <w:rPr>
          <w:spacing w:val="-22"/>
        </w:rPr>
        <w:t>一年原则上结算频次不低于2次。</w:t>
      </w:r>
    </w:p>
    <w:p>
      <w:pPr>
        <w:pStyle w:val="BodyText"/>
        <w:ind w:right="27" w:firstLine="619"/>
        <w:spacing w:before="1" w:line="307" w:lineRule="auto"/>
        <w:rPr/>
      </w:pPr>
      <w:r>
        <w:rPr>
          <w:rFonts w:ascii="SimHei" w:hAnsi="SimHei" w:eastAsia="SimHei" w:cs="SimHei"/>
          <w:spacing w:val="-21"/>
        </w:rPr>
        <w:t>第十四条</w:t>
      </w:r>
      <w:r>
        <w:rPr>
          <w:rFonts w:ascii="SimHei" w:hAnsi="SimHei" w:eastAsia="SimHei" w:cs="SimHei"/>
          <w:spacing w:val="-21"/>
        </w:rPr>
        <w:t xml:space="preserve">  </w:t>
      </w:r>
      <w:r>
        <w:rPr>
          <w:spacing w:val="-21"/>
        </w:rPr>
        <w:t>承包单位收到工程进度款后，应在预警信息系</w:t>
      </w:r>
      <w:r>
        <w:rPr>
          <w:spacing w:val="7"/>
        </w:rPr>
        <w:t xml:space="preserve"> </w:t>
      </w:r>
      <w:r>
        <w:rPr>
          <w:spacing w:val="-32"/>
        </w:rPr>
        <w:t>统确认收到，填写收款金额并上传收款凭证。</w:t>
      </w:r>
    </w:p>
    <w:p>
      <w:pPr>
        <w:pStyle w:val="BodyText"/>
        <w:ind w:right="23" w:firstLine="619"/>
        <w:spacing w:before="18" w:line="295" w:lineRule="auto"/>
        <w:rPr/>
      </w:pPr>
      <w:r>
        <w:rPr>
          <w:spacing w:val="7"/>
        </w:rPr>
        <w:t>工程竣(交)工结算完成后，承包单位应当上传结</w:t>
      </w:r>
      <w:r>
        <w:rPr>
          <w:spacing w:val="6"/>
        </w:rPr>
        <w:t>算文</w:t>
      </w:r>
      <w:r>
        <w:rPr/>
        <w:t xml:space="preserve"> </w:t>
      </w:r>
      <w:r>
        <w:rPr>
          <w:spacing w:val="-32"/>
        </w:rPr>
        <w:t>件、收款凭证，并确认结算完成。</w:t>
      </w:r>
    </w:p>
    <w:p>
      <w:pPr>
        <w:pStyle w:val="BodyText"/>
        <w:ind w:right="28" w:firstLine="619"/>
        <w:spacing w:before="35" w:line="307" w:lineRule="auto"/>
        <w:jc w:val="both"/>
        <w:rPr/>
      </w:pPr>
      <w:r>
        <w:rPr>
          <w:spacing w:val="-23"/>
        </w:rPr>
        <w:t>承包单位收到工程款后应遵循《湖北省保障农民工工资支</w:t>
      </w:r>
      <w:r>
        <w:rPr>
          <w:spacing w:val="8"/>
        </w:rPr>
        <w:t xml:space="preserve"> </w:t>
      </w:r>
      <w:r>
        <w:rPr>
          <w:spacing w:val="-4"/>
        </w:rPr>
        <w:t>付办法》,根据湖北省建筑工人管理服务信息平台的考勤数</w:t>
      </w:r>
      <w:r>
        <w:rPr>
          <w:spacing w:val="9"/>
        </w:rPr>
        <w:t xml:space="preserve"> </w:t>
      </w:r>
      <w:r>
        <w:rPr>
          <w:spacing w:val="-32"/>
        </w:rPr>
        <w:t>据，优先支付农民工工资。</w:t>
      </w:r>
    </w:p>
    <w:p>
      <w:pPr>
        <w:pStyle w:val="BodyText"/>
        <w:ind w:firstLine="619"/>
        <w:spacing w:before="3" w:line="307" w:lineRule="auto"/>
        <w:jc w:val="both"/>
        <w:rPr/>
      </w:pPr>
      <w:r>
        <w:rPr>
          <w:rFonts w:ascii="SimHei" w:hAnsi="SimHei" w:eastAsia="SimHei" w:cs="SimHei"/>
          <w:spacing w:val="-21"/>
        </w:rPr>
        <w:t>第十五条</w:t>
      </w:r>
      <w:r>
        <w:rPr>
          <w:rFonts w:ascii="SimHei" w:hAnsi="SimHei" w:eastAsia="SimHei" w:cs="SimHei"/>
          <w:spacing w:val="153"/>
        </w:rPr>
        <w:t xml:space="preserve"> </w:t>
      </w:r>
      <w:r>
        <w:rPr>
          <w:spacing w:val="-21"/>
        </w:rPr>
        <w:t>按照工程款支付节点信息，承包单位逾期60日</w:t>
      </w:r>
      <w:r>
        <w:rPr/>
        <w:t xml:space="preserve"> </w:t>
      </w:r>
      <w:r>
        <w:rPr>
          <w:spacing w:val="-23"/>
        </w:rPr>
        <w:t>未确认收到工程款并上传收款凭证的，预警信息系统将进行预</w:t>
      </w:r>
      <w:r>
        <w:rPr>
          <w:spacing w:val="4"/>
        </w:rPr>
        <w:t xml:space="preserve"> </w:t>
      </w:r>
      <w:r>
        <w:rPr>
          <w:spacing w:val="-22"/>
        </w:rPr>
        <w:t>警。项目所在地住房和城乡建设部门应根据预警信息进行调查</w:t>
      </w:r>
      <w:r>
        <w:rPr>
          <w:spacing w:val="3"/>
        </w:rPr>
        <w:t xml:space="preserve"> </w:t>
      </w:r>
      <w:r>
        <w:rPr>
          <w:spacing w:val="-33"/>
        </w:rPr>
        <w:t>处理。</w:t>
      </w:r>
    </w:p>
    <w:p>
      <w:pPr>
        <w:pStyle w:val="BodyText"/>
        <w:ind w:right="29" w:firstLine="619"/>
        <w:spacing w:before="2" w:line="300" w:lineRule="auto"/>
        <w:rPr/>
      </w:pPr>
      <w:r>
        <w:rPr>
          <w:spacing w:val="-22"/>
        </w:rPr>
        <w:t>预警信息系统应将项目基本信息、项目参建主体信息与担</w:t>
      </w:r>
      <w:r>
        <w:rPr>
          <w:spacing w:val="9"/>
        </w:rPr>
        <w:t xml:space="preserve"> </w:t>
      </w:r>
      <w:r>
        <w:rPr>
          <w:spacing w:val="-33"/>
        </w:rPr>
        <w:t>保人共享。</w:t>
      </w:r>
    </w:p>
    <w:p>
      <w:pPr>
        <w:pStyle w:val="BodyText"/>
        <w:ind w:right="24" w:firstLine="619"/>
        <w:spacing w:before="20" w:line="308" w:lineRule="auto"/>
        <w:jc w:val="both"/>
        <w:rPr/>
      </w:pPr>
      <w:r>
        <w:rPr>
          <w:rFonts w:ascii="SimHei" w:hAnsi="SimHei" w:eastAsia="SimHei" w:cs="SimHei"/>
          <w:spacing w:val="-21"/>
        </w:rPr>
        <w:t>第十六条</w:t>
      </w:r>
      <w:r>
        <w:rPr>
          <w:rFonts w:ascii="SimHei" w:hAnsi="SimHei" w:eastAsia="SimHei" w:cs="SimHei"/>
          <w:spacing w:val="-21"/>
        </w:rPr>
        <w:t xml:space="preserve">  </w:t>
      </w:r>
      <w:r>
        <w:rPr>
          <w:spacing w:val="-21"/>
        </w:rPr>
        <w:t>建设单位在工程款支付担保约定有效期内，未</w:t>
      </w:r>
      <w:r>
        <w:rPr>
          <w:spacing w:val="6"/>
        </w:rPr>
        <w:t xml:space="preserve"> </w:t>
      </w:r>
      <w:r>
        <w:rPr>
          <w:spacing w:val="-23"/>
        </w:rPr>
        <w:t>按合同约定拨付工程款的，承包单位应先要求建设单位严格按</w:t>
      </w:r>
      <w:r>
        <w:rPr>
          <w:spacing w:val="5"/>
        </w:rPr>
        <w:t xml:space="preserve"> </w:t>
      </w:r>
      <w:r>
        <w:rPr>
          <w:spacing w:val="-23"/>
        </w:rPr>
        <w:t>合同约定拨付工程款，建设单位拒不履约的，承包单位可以要</w:t>
      </w:r>
      <w:r>
        <w:rPr>
          <w:spacing w:val="5"/>
        </w:rPr>
        <w:t xml:space="preserve"> </w:t>
      </w:r>
      <w:r>
        <w:rPr>
          <w:spacing w:val="-31"/>
        </w:rPr>
        <w:t>求担保人依约履行担保责任，担保人应当依约履责。</w:t>
      </w:r>
    </w:p>
    <w:p>
      <w:pPr>
        <w:pStyle w:val="BodyText"/>
        <w:ind w:right="14" w:firstLine="619"/>
        <w:spacing w:before="32" w:line="315" w:lineRule="auto"/>
        <w:rPr>
          <w:sz w:val="33"/>
          <w:szCs w:val="33"/>
        </w:rPr>
      </w:pPr>
      <w:r>
        <w:rPr>
          <w:sz w:val="33"/>
          <w:szCs w:val="33"/>
          <w:spacing w:val="-1"/>
        </w:rPr>
        <w:t>对已完成的工程量或应付工程款金额存在争议的，担保人</w:t>
      </w:r>
      <w:r>
        <w:rPr>
          <w:sz w:val="33"/>
          <w:szCs w:val="33"/>
        </w:rPr>
        <w:t xml:space="preserve"> </w:t>
      </w:r>
      <w:r>
        <w:rPr>
          <w:sz w:val="33"/>
          <w:szCs w:val="33"/>
          <w:spacing w:val="-14"/>
        </w:rPr>
        <w:t>应首先对无争议部分履行担保支付义务。</w:t>
      </w:r>
    </w:p>
    <w:p>
      <w:pPr>
        <w:pStyle w:val="BodyText"/>
        <w:ind w:right="24"/>
        <w:spacing w:before="47" w:line="222" w:lineRule="auto"/>
        <w:jc w:val="right"/>
        <w:rPr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spacing w:val="12"/>
        </w:rPr>
        <w:t>第十七条</w:t>
      </w:r>
      <w:r>
        <w:rPr>
          <w:rFonts w:ascii="SimHei" w:hAnsi="SimHei" w:eastAsia="SimHei" w:cs="SimHei"/>
          <w:sz w:val="33"/>
          <w:szCs w:val="33"/>
          <w:spacing w:val="3"/>
        </w:rPr>
        <w:t xml:space="preserve">  </w:t>
      </w:r>
      <w:r>
        <w:rPr>
          <w:sz w:val="33"/>
          <w:szCs w:val="33"/>
          <w:spacing w:val="12"/>
        </w:rPr>
        <w:t>工程竣(交)工结算完成，工程款结清，承包</w:t>
      </w:r>
    </w:p>
    <w:p>
      <w:pPr>
        <w:spacing w:line="222" w:lineRule="auto"/>
        <w:sectPr>
          <w:footerReference w:type="default" r:id="rId11"/>
          <w:pgSz w:w="11900" w:h="16840"/>
          <w:pgMar w:top="1431" w:right="1519" w:bottom="1754" w:left="1519" w:header="0" w:footer="1430" w:gutter="0"/>
        </w:sectPr>
        <w:rPr>
          <w:sz w:val="33"/>
          <w:szCs w:val="33"/>
        </w:rPr>
      </w:pPr>
    </w:p>
    <w:p>
      <w:pPr>
        <w:spacing w:line="331" w:lineRule="auto"/>
        <w:rPr>
          <w:rFonts w:ascii="Arial"/>
          <w:sz w:val="21"/>
        </w:rPr>
      </w:pPr>
      <w:r/>
    </w:p>
    <w:p>
      <w:pPr>
        <w:pStyle w:val="BodyText"/>
        <w:spacing w:before="114" w:line="221" w:lineRule="auto"/>
        <w:rPr/>
      </w:pPr>
      <w:r>
        <w:rPr>
          <w:spacing w:val="-32"/>
        </w:rPr>
        <w:t>单位出具工程款结清证明后，工程款支付担保终止。</w:t>
      </w:r>
    </w:p>
    <w:p>
      <w:pPr>
        <w:pStyle w:val="BodyText"/>
        <w:ind w:right="74" w:firstLine="629"/>
        <w:spacing w:before="113" w:line="316" w:lineRule="auto"/>
        <w:jc w:val="both"/>
        <w:rPr/>
      </w:pPr>
      <w:r>
        <w:rPr>
          <w:spacing w:val="-23"/>
        </w:rPr>
        <w:t>因不可抗力、双方确认或者生效裁判文书确认的合同解除</w:t>
      </w:r>
      <w:r>
        <w:rPr>
          <w:spacing w:val="9"/>
        </w:rPr>
        <w:t xml:space="preserve"> </w:t>
      </w:r>
      <w:r>
        <w:rPr>
          <w:spacing w:val="-24"/>
        </w:rPr>
        <w:t>等原因导致工程合同无法继续履行的，建设单</w:t>
      </w:r>
      <w:r>
        <w:rPr>
          <w:spacing w:val="-25"/>
        </w:rPr>
        <w:t>位付清实际发生</w:t>
      </w:r>
      <w:r>
        <w:rPr/>
        <w:t xml:space="preserve"> </w:t>
      </w:r>
      <w:r>
        <w:rPr>
          <w:spacing w:val="-32"/>
        </w:rPr>
        <w:t>的工程款后，可撤销或者解除工程款支付担保。</w:t>
      </w:r>
    </w:p>
    <w:p>
      <w:pPr>
        <w:ind w:left="3129"/>
        <w:spacing w:before="272" w:line="221" w:lineRule="auto"/>
        <w:rPr>
          <w:rFonts w:ascii="SimHei" w:hAnsi="SimHei" w:eastAsia="SimHei" w:cs="SimHei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spacing w:val="-9"/>
        </w:rPr>
        <w:t>第四章</w:t>
      </w:r>
      <w:r>
        <w:rPr>
          <w:rFonts w:ascii="SimHei" w:hAnsi="SimHei" w:eastAsia="SimHei" w:cs="SimHei"/>
          <w:sz w:val="33"/>
          <w:szCs w:val="33"/>
          <w:spacing w:val="158"/>
        </w:rPr>
        <w:t xml:space="preserve"> </w:t>
      </w:r>
      <w:r>
        <w:rPr>
          <w:rFonts w:ascii="SimHei" w:hAnsi="SimHei" w:eastAsia="SimHei" w:cs="SimHei"/>
          <w:sz w:val="33"/>
          <w:szCs w:val="33"/>
          <w:spacing w:val="-9"/>
        </w:rPr>
        <w:t>监督管理</w:t>
      </w:r>
    </w:p>
    <w:p>
      <w:pPr>
        <w:spacing w:line="311" w:lineRule="auto"/>
        <w:rPr>
          <w:rFonts w:ascii="Arial"/>
          <w:sz w:val="21"/>
        </w:rPr>
      </w:pPr>
      <w:r/>
    </w:p>
    <w:p>
      <w:pPr>
        <w:pStyle w:val="BodyText"/>
        <w:ind w:right="54" w:firstLine="629"/>
        <w:spacing w:before="114" w:line="292" w:lineRule="auto"/>
        <w:rPr/>
      </w:pPr>
      <w:r>
        <w:rPr>
          <w:rFonts w:ascii="SimHei" w:hAnsi="SimHei" w:eastAsia="SimHei" w:cs="SimHei"/>
          <w:spacing w:val="-21"/>
        </w:rPr>
        <w:t>第十八条</w:t>
      </w:r>
      <w:r>
        <w:rPr>
          <w:rFonts w:ascii="SimHei" w:hAnsi="SimHei" w:eastAsia="SimHei" w:cs="SimHei"/>
          <w:spacing w:val="-21"/>
        </w:rPr>
        <w:t xml:space="preserve">  </w:t>
      </w:r>
      <w:r>
        <w:rPr>
          <w:spacing w:val="-21"/>
        </w:rPr>
        <w:t>各级住房和城乡建设部门应利用预警信息系统</w:t>
      </w:r>
      <w:r>
        <w:rPr/>
        <w:t xml:space="preserve"> </w:t>
      </w:r>
      <w:r>
        <w:rPr>
          <w:spacing w:val="-24"/>
        </w:rPr>
        <w:t>核查建设单位提供工程款支付担保情况，对未依法提供工程款</w:t>
      </w:r>
      <w:r>
        <w:rPr>
          <w:spacing w:val="8"/>
        </w:rPr>
        <w:t xml:space="preserve"> </w:t>
      </w:r>
      <w:r>
        <w:rPr>
          <w:spacing w:val="-24"/>
        </w:rPr>
        <w:t>支付担保的，按照《保障农民工工资支付条例》第五十七条规</w:t>
      </w:r>
      <w:r>
        <w:rPr>
          <w:spacing w:val="11"/>
        </w:rPr>
        <w:t xml:space="preserve"> </w:t>
      </w:r>
      <w:r>
        <w:rPr>
          <w:spacing w:val="-33"/>
        </w:rPr>
        <w:t>定处理。</w:t>
      </w:r>
    </w:p>
    <w:p>
      <w:pPr>
        <w:pStyle w:val="BodyText"/>
        <w:ind w:right="54" w:firstLine="629"/>
        <w:spacing w:before="127" w:line="291" w:lineRule="auto"/>
        <w:rPr/>
      </w:pPr>
      <w:r>
        <w:rPr>
          <w:rFonts w:ascii="SimHei" w:hAnsi="SimHei" w:eastAsia="SimHei" w:cs="SimHei"/>
          <w:spacing w:val="-21"/>
        </w:rPr>
        <w:t>第十九</w:t>
      </w:r>
      <w:r>
        <w:rPr>
          <w:spacing w:val="-21"/>
        </w:rPr>
        <w:t>条</w:t>
      </w:r>
      <w:r>
        <w:rPr>
          <w:spacing w:val="-21"/>
        </w:rPr>
        <w:t xml:space="preserve">  </w:t>
      </w:r>
      <w:r>
        <w:rPr>
          <w:spacing w:val="-21"/>
        </w:rPr>
        <w:t>各级住房和城乡建设部门监督工程款支付担保</w:t>
      </w:r>
      <w:r>
        <w:rPr/>
        <w:t xml:space="preserve"> </w:t>
      </w:r>
      <w:r>
        <w:rPr>
          <w:spacing w:val="-24"/>
        </w:rPr>
        <w:t>制度落实情况，发现未按本办法落实工程款支付担保制度或存</w:t>
      </w:r>
      <w:r>
        <w:rPr>
          <w:spacing w:val="13"/>
        </w:rPr>
        <w:t xml:space="preserve"> </w:t>
      </w:r>
      <w:r>
        <w:rPr>
          <w:spacing w:val="-24"/>
        </w:rPr>
        <w:t>在违法违规行为的，应当依法依规处理。金融监管部门督促指</w:t>
      </w:r>
      <w:r>
        <w:rPr>
          <w:spacing w:val="13"/>
        </w:rPr>
        <w:t xml:space="preserve"> </w:t>
      </w:r>
      <w:r>
        <w:rPr>
          <w:spacing w:val="-24"/>
        </w:rPr>
        <w:t>导金融机构完善工作流程，改进金融服务，按照市场化、法治</w:t>
      </w:r>
      <w:r>
        <w:rPr>
          <w:spacing w:val="8"/>
        </w:rPr>
        <w:t xml:space="preserve"> </w:t>
      </w:r>
      <w:r>
        <w:rPr>
          <w:spacing w:val="-33"/>
        </w:rPr>
        <w:t>化原则，依法合规落实本办法。</w:t>
      </w:r>
    </w:p>
    <w:p>
      <w:pPr>
        <w:spacing w:line="351" w:lineRule="auto"/>
        <w:rPr>
          <w:rFonts w:ascii="Arial"/>
          <w:sz w:val="21"/>
        </w:rPr>
      </w:pPr>
      <w:r/>
    </w:p>
    <w:p>
      <w:pPr>
        <w:ind w:left="3160"/>
        <w:spacing w:before="104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8"/>
        </w:rPr>
        <w:t>第五章</w:t>
      </w:r>
      <w:r>
        <w:rPr>
          <w:rFonts w:ascii="SimHei" w:hAnsi="SimHei" w:eastAsia="SimHei" w:cs="SimHei"/>
          <w:sz w:val="32"/>
          <w:szCs w:val="32"/>
          <w:spacing w:val="-8"/>
        </w:rPr>
        <w:t xml:space="preserve">  </w:t>
      </w:r>
      <w:r>
        <w:rPr>
          <w:rFonts w:ascii="SimHei" w:hAnsi="SimHei" w:eastAsia="SimHei" w:cs="SimHei"/>
          <w:sz w:val="32"/>
          <w:szCs w:val="32"/>
          <w:spacing w:val="-8"/>
        </w:rPr>
        <w:t>附</w:t>
      </w:r>
      <w:r>
        <w:rPr>
          <w:rFonts w:ascii="SimHei" w:hAnsi="SimHei" w:eastAsia="SimHei" w:cs="SimHei"/>
          <w:sz w:val="32"/>
          <w:szCs w:val="32"/>
          <w:spacing w:val="6"/>
        </w:rPr>
        <w:t xml:space="preserve">    </w:t>
      </w:r>
      <w:r>
        <w:rPr>
          <w:rFonts w:ascii="SimHei" w:hAnsi="SimHei" w:eastAsia="SimHei" w:cs="SimHei"/>
          <w:sz w:val="32"/>
          <w:szCs w:val="32"/>
          <w:spacing w:val="-8"/>
        </w:rPr>
        <w:t>则</w:t>
      </w:r>
    </w:p>
    <w:p>
      <w:pPr>
        <w:spacing w:line="326" w:lineRule="auto"/>
        <w:rPr>
          <w:rFonts w:ascii="Arial"/>
          <w:sz w:val="21"/>
        </w:rPr>
      </w:pPr>
      <w:r/>
    </w:p>
    <w:p>
      <w:pPr>
        <w:pStyle w:val="BodyText"/>
        <w:ind w:right="95" w:firstLine="629"/>
        <w:spacing w:before="114" w:line="329" w:lineRule="auto"/>
        <w:rPr/>
      </w:pPr>
      <w:r>
        <w:rPr>
          <w:rFonts w:ascii="SimHei" w:hAnsi="SimHei" w:eastAsia="SimHei" w:cs="SimHei"/>
          <w:spacing w:val="-16"/>
        </w:rPr>
        <w:t>第二十条</w:t>
      </w:r>
      <w:r>
        <w:rPr>
          <w:rFonts w:ascii="SimHei" w:hAnsi="SimHei" w:eastAsia="SimHei" w:cs="SimHei"/>
          <w:spacing w:val="148"/>
        </w:rPr>
        <w:t xml:space="preserve"> </w:t>
      </w:r>
      <w:r>
        <w:rPr>
          <w:spacing w:val="-16"/>
        </w:rPr>
        <w:t>本实施办法自发布之日起施行，有效期5年，</w:t>
      </w:r>
      <w:r>
        <w:rPr/>
        <w:t xml:space="preserve"> </w:t>
      </w:r>
      <w:r>
        <w:rPr>
          <w:spacing w:val="-35"/>
        </w:rPr>
        <w:t>由湖北省住房和城乡建设厅负责解释。</w:t>
      </w:r>
    </w:p>
    <w:p>
      <w:pPr>
        <w:spacing w:before="67"/>
        <w:rPr/>
      </w:pPr>
      <w:r/>
    </w:p>
    <w:p>
      <w:pPr>
        <w:spacing w:before="67"/>
        <w:rPr/>
      </w:pPr>
      <w:r/>
    </w:p>
    <w:p>
      <w:pPr>
        <w:spacing w:before="66"/>
        <w:rPr/>
      </w:pPr>
      <w:r/>
    </w:p>
    <w:tbl>
      <w:tblPr>
        <w:tblStyle w:val="TableNormal"/>
        <w:tblW w:w="8860" w:type="dxa"/>
        <w:tblInd w:w="29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984"/>
        <w:gridCol w:w="3876"/>
      </w:tblGrid>
      <w:tr>
        <w:trPr>
          <w:trHeight w:val="600" w:hRule="atLeast"/>
        </w:trPr>
        <w:tc>
          <w:tcPr>
            <w:tcW w:w="4984" w:type="dxa"/>
            <w:vAlign w:val="top"/>
            <w:tcBorders>
              <w:bottom w:val="single" w:color="000000" w:sz="8" w:space="0"/>
              <w:top w:val="single" w:color="000000" w:sz="8" w:space="0"/>
            </w:tcBorders>
          </w:tcPr>
          <w:p>
            <w:pPr>
              <w:ind w:left="300"/>
              <w:spacing w:before="157" w:line="222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湖北省住房和城乡建设厅办公室</w:t>
            </w:r>
          </w:p>
        </w:tc>
        <w:tc>
          <w:tcPr>
            <w:tcW w:w="3876" w:type="dxa"/>
            <w:vAlign w:val="top"/>
            <w:tcBorders>
              <w:bottom w:val="single" w:color="000000" w:sz="8" w:space="0"/>
              <w:top w:val="single" w:color="000000" w:sz="8" w:space="0"/>
            </w:tcBorders>
          </w:tcPr>
          <w:p>
            <w:pPr>
              <w:ind w:left="896"/>
              <w:spacing w:before="98" w:line="222" w:lineRule="auto"/>
              <w:rPr>
                <w:rFonts w:ascii="FangSong" w:hAnsi="FangSong" w:eastAsia="FangSong" w:cs="FangSong"/>
                <w:sz w:val="30"/>
                <w:szCs w:val="30"/>
              </w:rPr>
            </w:pPr>
            <w:r>
              <w:rPr>
                <w:rFonts w:ascii="FangSong" w:hAnsi="FangSong" w:eastAsia="FangSong" w:cs="FangSong"/>
                <w:sz w:val="30"/>
                <w:szCs w:val="30"/>
                <w:spacing w:val="16"/>
              </w:rPr>
              <w:t>2026年6月26日印发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12"/>
      <w:pgSz w:w="11900" w:h="16840"/>
      <w:pgMar w:top="1431" w:right="1539" w:bottom="1786" w:left="1470" w:header="0" w:footer="147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030"/>
      <w:spacing w:before="1" w:line="232" w:lineRule="auto"/>
      <w:rPr>
        <w:rFonts w:ascii="SimSun" w:hAnsi="SimSun" w:eastAsia="SimSun" w:cs="SimSun"/>
        <w:sz w:val="23"/>
        <w:szCs w:val="23"/>
      </w:rPr>
    </w:pPr>
    <w:r>
      <w:rPr>
        <w:rFonts w:ascii="SimSun" w:hAnsi="SimSun" w:eastAsia="SimSun" w:cs="SimSun"/>
        <w:sz w:val="23"/>
        <w:szCs w:val="23"/>
        <w:spacing w:val="-3"/>
      </w:rPr>
      <w:t>—1—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32" w:lineRule="auto"/>
      <w:rPr>
        <w:rFonts w:ascii="SimSun" w:hAnsi="SimSun" w:eastAsia="SimSun" w:cs="SimSun"/>
        <w:sz w:val="22"/>
        <w:szCs w:val="22"/>
      </w:rPr>
    </w:pPr>
    <w:r>
      <w:rPr>
        <w:rFonts w:ascii="SimSun" w:hAnsi="SimSun" w:eastAsia="SimSun" w:cs="SimSun"/>
        <w:sz w:val="22"/>
        <w:szCs w:val="22"/>
        <w:spacing w:val="-3"/>
      </w:rPr>
      <w:t>—2—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934"/>
      <w:spacing w:line="344" w:lineRule="exact"/>
      <w:rPr>
        <w:rFonts w:ascii="Arial" w:hAnsi="Arial" w:eastAsia="Arial" w:cs="Arial"/>
        <w:sz w:val="26"/>
        <w:szCs w:val="26"/>
      </w:rPr>
    </w:pPr>
    <w:r>
      <w:rPr>
        <w:rFonts w:ascii="Arial" w:hAnsi="Arial" w:eastAsia="Arial" w:cs="Arial"/>
        <w:sz w:val="26"/>
        <w:szCs w:val="26"/>
        <w:spacing w:val="-1"/>
        <w:position w:val="1"/>
      </w:rPr>
      <w:t>—3</w:t>
    </w:r>
    <w:r>
      <w:rPr>
        <w:rFonts w:ascii="Arial" w:hAnsi="Arial" w:eastAsia="Arial" w:cs="Arial"/>
        <w:sz w:val="26"/>
        <w:szCs w:val="26"/>
        <w:spacing w:val="36"/>
        <w:position w:val="1"/>
      </w:rPr>
      <w:t xml:space="preserve">  </w:t>
    </w:r>
    <w:r>
      <w:rPr>
        <w:rFonts w:ascii="Arial" w:hAnsi="Arial" w:eastAsia="Arial" w:cs="Arial"/>
        <w:sz w:val="26"/>
        <w:szCs w:val="26"/>
        <w:spacing w:val="-1"/>
        <w:position w:val="1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14"/>
      <w:spacing w:line="233" w:lineRule="auto"/>
      <w:rPr>
        <w:rFonts w:ascii="SimSun" w:hAnsi="SimSun" w:eastAsia="SimSun" w:cs="SimSun"/>
        <w:sz w:val="25"/>
        <w:szCs w:val="25"/>
      </w:rPr>
    </w:pPr>
    <w:r>
      <w:rPr>
        <w:rFonts w:ascii="SimSun" w:hAnsi="SimSun" w:eastAsia="SimSun" w:cs="SimSun"/>
        <w:sz w:val="25"/>
        <w:szCs w:val="25"/>
        <w:spacing w:val="-3"/>
      </w:rPr>
      <w:t>—4—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879"/>
      <w:spacing w:before="1" w:line="231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3"/>
      </w:rPr>
      <w:t>—5—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64"/>
      <w:spacing w:before="1" w:line="231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3"/>
      </w:rPr>
      <w:t>—6—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910"/>
      <w:spacing w:line="232" w:lineRule="auto"/>
      <w:rPr>
        <w:rFonts w:ascii="SimSun" w:hAnsi="SimSun" w:eastAsia="SimSun" w:cs="SimSun"/>
        <w:sz w:val="25"/>
        <w:szCs w:val="25"/>
      </w:rPr>
    </w:pPr>
    <w:r>
      <w:rPr>
        <w:rFonts w:ascii="SimSun" w:hAnsi="SimSun" w:eastAsia="SimSun" w:cs="SimSun"/>
        <w:sz w:val="25"/>
        <w:szCs w:val="25"/>
        <w:spacing w:val="-3"/>
      </w:rPr>
      <w:t>—7—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31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3"/>
      </w:rPr>
      <w:t>—8—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5"/>
      <w:szCs w:val="3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Relationship Id="rId3" Type="http://schemas.openxmlformats.org/officeDocument/2006/relationships/footer" Target="footer2.xml"/><Relationship Id="rId2" Type="http://schemas.openxmlformats.org/officeDocument/2006/relationships/image" Target="media/image1.jpeg"/><Relationship Id="rId15" Type="http://schemas.openxmlformats.org/officeDocument/2006/relationships/fontTable" Target="fontTable.xml"/><Relationship Id="rId14" Type="http://schemas.openxmlformats.org/officeDocument/2006/relationships/styles" Target="styles.xml"/><Relationship Id="rId13" Type="http://schemas.openxmlformats.org/officeDocument/2006/relationships/settings" Target="settings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2026-07-17T08:17:05Z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2026-07-17T08:17:05</vt:filetime>
  </property>
  <property fmtid="{D5CDD505-2E9C-101B-9397-08002B2CF9AE}" pid="4" name="UsrData">
    <vt:lpwstr>6a59747f9e8a67001f98b950wl</vt:lpwstr>
  </property>
</Properties>
</file>