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569"/>
        <w:spacing w:before="273" w:line="219" w:lineRule="auto"/>
        <w:outlineLvl w:val="0"/>
        <w:rPr>
          <w:rFonts w:ascii="SimSun" w:hAnsi="SimSun" w:eastAsia="SimSun" w:cs="SimSun"/>
          <w:sz w:val="87"/>
          <w:szCs w:val="87"/>
        </w:rPr>
      </w:pPr>
      <w:r>
        <w:rPr>
          <w:rFonts w:ascii="SimSun" w:hAnsi="SimSun" w:eastAsia="SimSun" w:cs="SimSun"/>
          <w:sz w:val="87"/>
          <w:szCs w:val="87"/>
          <w:b/>
          <w:bCs/>
          <w:color w:val="F07050"/>
          <w:spacing w:val="-86"/>
          <w:w w:val="84"/>
        </w:rPr>
        <w:t>武汉市自然资源和城乡建设局</w:t>
      </w:r>
    </w:p>
    <w:p>
      <w:pPr>
        <w:spacing w:before="54" w:line="59" w:lineRule="exact"/>
        <w:rPr/>
      </w:pPr>
      <w:r>
        <w:rPr>
          <w:position w:val="-1"/>
        </w:rPr>
        <w:drawing>
          <wp:inline distT="0" distB="0" distL="0" distR="0">
            <wp:extent cx="5975373" cy="38046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75373" cy="38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ind w:left="1236"/>
        <w:spacing w:before="156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37"/>
        </w:rPr>
        <w:t>市自然资源和城建局关于开展2026年</w:t>
      </w:r>
    </w:p>
    <w:p>
      <w:pPr>
        <w:ind w:left="1785"/>
        <w:spacing w:before="100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57"/>
        </w:rPr>
        <w:t>全市房屋建筑工程“安全生产月”</w:t>
      </w:r>
    </w:p>
    <w:p>
      <w:pPr>
        <w:ind w:left="3696"/>
        <w:spacing w:before="112" w:line="220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44"/>
        </w:rPr>
        <w:t>活动的通知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220" w:right="189"/>
        <w:spacing w:before="104" w:line="317" w:lineRule="auto"/>
        <w:jc w:val="both"/>
        <w:rPr/>
      </w:pPr>
      <w:r>
        <w:rPr>
          <w:spacing w:val="7"/>
        </w:rPr>
        <w:t>各区自然资源和城建局(含东湖高新区建设交通局、长江新区住</w:t>
      </w:r>
      <w:r>
        <w:rPr>
          <w:spacing w:val="13"/>
        </w:rPr>
        <w:t xml:space="preserve"> </w:t>
      </w:r>
      <w:r>
        <w:rPr>
          <w:spacing w:val="13"/>
        </w:rPr>
        <w:t>建局、东湖风景区建设局),市建筑工程质安中心，市相关行业</w:t>
      </w:r>
      <w:r>
        <w:rPr>
          <w:spacing w:val="5"/>
        </w:rPr>
        <w:t xml:space="preserve"> </w:t>
      </w:r>
      <w:r>
        <w:rPr>
          <w:spacing w:val="-10"/>
        </w:rPr>
        <w:t>协会，各参建单位：</w:t>
      </w:r>
    </w:p>
    <w:p>
      <w:pPr>
        <w:pStyle w:val="BodyText"/>
        <w:ind w:left="220" w:right="80" w:firstLine="649"/>
        <w:spacing w:before="57" w:line="322" w:lineRule="auto"/>
        <w:jc w:val="both"/>
        <w:rPr/>
      </w:pPr>
      <w:r>
        <w:rPr>
          <w:spacing w:val="-6"/>
        </w:rPr>
        <w:t>今年6月是全国第25个“安全生产月”,主题是“人人讲安全、</w:t>
      </w:r>
      <w:r>
        <w:rPr>
          <w:spacing w:val="2"/>
        </w:rPr>
        <w:t xml:space="preserve"> </w:t>
      </w:r>
      <w:r>
        <w:rPr>
          <w:spacing w:val="1"/>
        </w:rPr>
        <w:t>个个会应急——排查整治风险隐患”,6月16日为全</w:t>
      </w:r>
      <w:r>
        <w:rPr/>
        <w:t>国“安全宣传</w:t>
      </w:r>
      <w:r>
        <w:rPr/>
        <w:t xml:space="preserve"> </w:t>
      </w:r>
      <w:r>
        <w:rPr>
          <w:spacing w:val="-11"/>
        </w:rPr>
        <w:t>咨询日”。根据国家和省、市统一部署，结合我市房建工程领域工</w:t>
      </w:r>
      <w:r>
        <w:rPr>
          <w:spacing w:val="18"/>
        </w:rPr>
        <w:t xml:space="preserve"> </w:t>
      </w:r>
      <w:r>
        <w:rPr>
          <w:spacing w:val="1"/>
        </w:rPr>
        <w:t>作实际，现就开展全市房建工程安全月宣传教</w:t>
      </w:r>
      <w:r>
        <w:rPr/>
        <w:t>育和隐患排查整治</w:t>
      </w:r>
      <w:r>
        <w:rPr/>
        <w:t xml:space="preserve"> </w:t>
      </w:r>
      <w:r>
        <w:rPr>
          <w:spacing w:val="-7"/>
        </w:rPr>
        <w:t>各项工作通知如下。</w:t>
      </w:r>
    </w:p>
    <w:p>
      <w:pPr>
        <w:ind w:left="869"/>
        <w:spacing w:before="27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3"/>
        </w:rPr>
        <w:t>一、总体要求</w:t>
      </w:r>
    </w:p>
    <w:p>
      <w:pPr>
        <w:pStyle w:val="BodyText"/>
        <w:ind w:left="220" w:right="175" w:firstLine="649"/>
        <w:spacing w:before="214" w:line="323" w:lineRule="auto"/>
        <w:jc w:val="both"/>
        <w:rPr/>
      </w:pPr>
      <w:r>
        <w:rPr>
          <w:spacing w:val="2"/>
        </w:rPr>
        <w:t>深入学习贯彻落实习近平总书记关于安全生产的重要论述和</w:t>
      </w:r>
      <w:r>
        <w:rPr>
          <w:spacing w:val="1"/>
        </w:rPr>
        <w:t xml:space="preserve"> </w:t>
      </w:r>
      <w:r>
        <w:rPr>
          <w:spacing w:val="1"/>
        </w:rPr>
        <w:t>重要指示批示精神，贯彻执行上级关于安全生产的决策部署，紧</w:t>
      </w:r>
      <w:r>
        <w:rPr/>
        <w:t xml:space="preserve"> </w:t>
      </w:r>
      <w:r>
        <w:rPr>
          <w:spacing w:val="-10"/>
        </w:rPr>
        <w:t>扣2026年全国“安全生产月”主题，全面落实安全生产治本攻坚三</w:t>
      </w:r>
      <w:r>
        <w:rPr>
          <w:spacing w:val="13"/>
        </w:rPr>
        <w:t xml:space="preserve"> </w:t>
      </w:r>
      <w:r>
        <w:rPr>
          <w:spacing w:val="-10"/>
        </w:rPr>
        <w:t>年行动收官各项任务。树牢“人民至上、生命至上”</w:t>
      </w:r>
      <w:r>
        <w:rPr>
          <w:spacing w:val="-11"/>
        </w:rPr>
        <w:t>安全理念，强</w:t>
      </w:r>
      <w:r>
        <w:rPr/>
        <w:t xml:space="preserve"> </w:t>
      </w:r>
      <w:r>
        <w:rPr>
          <w:spacing w:val="1"/>
        </w:rPr>
        <w:t>化红线意识和底线思维，深入开展安全隐患排查整</w:t>
      </w:r>
      <w:r>
        <w:rPr/>
        <w:t>治，进一步提</w:t>
      </w:r>
      <w:r>
        <w:rPr/>
        <w:t xml:space="preserve"> </w:t>
      </w:r>
      <w:r>
        <w:rPr>
          <w:spacing w:val="-1"/>
        </w:rPr>
        <w:t>升我市房建工程领域本质安全水平，防范和遏制生产事故发</w:t>
      </w:r>
      <w:r>
        <w:rPr>
          <w:spacing w:val="-2"/>
        </w:rPr>
        <w:t>生，</w:t>
      </w:r>
    </w:p>
    <w:p>
      <w:pPr>
        <w:spacing w:line="323" w:lineRule="auto"/>
        <w:sectPr>
          <w:footerReference w:type="default" r:id="rId1"/>
          <w:pgSz w:w="11600" w:h="16830"/>
          <w:pgMar w:top="1430" w:right="1019" w:bottom="1129" w:left="1160" w:header="0" w:footer="1070" w:gutter="0"/>
        </w:sectPr>
        <w:rPr/>
      </w:pPr>
    </w:p>
    <w:p>
      <w:pPr>
        <w:pStyle w:val="BodyText"/>
        <w:spacing w:before="246" w:line="221" w:lineRule="auto"/>
        <w:rPr/>
      </w:pPr>
      <w:r>
        <w:rPr>
          <w:spacing w:val="-16"/>
        </w:rPr>
        <w:t>为全市“十五五”开局高质量发展提供坚实的安全生产保障。</w:t>
      </w:r>
    </w:p>
    <w:p>
      <w:pPr>
        <w:ind w:left="640"/>
        <w:spacing w:before="179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18"/>
        </w:rPr>
        <w:t>二、活动内容</w:t>
      </w:r>
    </w:p>
    <w:p>
      <w:pPr>
        <w:ind w:right="109" w:firstLine="780"/>
        <w:spacing w:before="174" w:line="327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-1"/>
        </w:rPr>
        <w:t>(一)深入宣传习近平总书记关于安全生产重要论述和重要</w:t>
      </w:r>
      <w:r>
        <w:rPr>
          <w:rFonts w:ascii="KaiTi" w:hAnsi="KaiTi" w:eastAsia="KaiTi" w:cs="KaiTi"/>
          <w:sz w:val="33"/>
          <w:szCs w:val="33"/>
          <w:spacing w:val="5"/>
        </w:rPr>
        <w:t xml:space="preserve"> </w:t>
      </w:r>
      <w:r>
        <w:rPr>
          <w:rFonts w:ascii="KaiTi" w:hAnsi="KaiTi" w:eastAsia="KaiTi" w:cs="KaiTi"/>
          <w:sz w:val="33"/>
          <w:szCs w:val="33"/>
          <w:spacing w:val="-11"/>
        </w:rPr>
        <w:t>指示批示精神</w:t>
      </w:r>
    </w:p>
    <w:p>
      <w:pPr>
        <w:pStyle w:val="BodyText"/>
        <w:ind w:firstLine="649"/>
        <w:spacing w:before="15" w:line="325" w:lineRule="auto"/>
        <w:jc w:val="both"/>
        <w:rPr/>
      </w:pPr>
      <w:r>
        <w:rPr>
          <w:spacing w:val="2"/>
        </w:rPr>
        <w:t>各单位要把学习宣传贯彻习近平总书记关于安全生产重要论</w:t>
      </w:r>
      <w:r>
        <w:rPr>
          <w:spacing w:val="2"/>
        </w:rPr>
        <w:t xml:space="preserve"> </w:t>
      </w:r>
      <w:r>
        <w:rPr>
          <w:spacing w:val="2"/>
        </w:rPr>
        <w:t>述和重要指示批示精神与习近平总书记考察湖北、</w:t>
      </w:r>
      <w:r>
        <w:rPr>
          <w:spacing w:val="1"/>
        </w:rPr>
        <w:t>主持二十届中</w:t>
      </w:r>
      <w:r>
        <w:rPr/>
        <w:t xml:space="preserve"> </w:t>
      </w:r>
      <w:r>
        <w:rPr>
          <w:spacing w:val="1"/>
        </w:rPr>
        <w:t>央政治局第二十五次集体学习时关于安全生产的</w:t>
      </w:r>
      <w:r>
        <w:rPr/>
        <w:t>讲话精神结合起</w:t>
      </w:r>
      <w:r>
        <w:rPr/>
        <w:t xml:space="preserve"> </w:t>
      </w:r>
      <w:r>
        <w:rPr>
          <w:spacing w:val="-9"/>
        </w:rPr>
        <w:t>来，有效贯通、深刻领悟、认真落实。监管、监督机构开展“三个</w:t>
      </w:r>
      <w:r>
        <w:rPr>
          <w:spacing w:val="1"/>
        </w:rPr>
        <w:t xml:space="preserve"> </w:t>
      </w:r>
      <w:r>
        <w:rPr>
          <w:spacing w:val="-5"/>
        </w:rPr>
        <w:t>一”:结合当前安全工作重点开展一次专题研讨，观看一次安全生</w:t>
      </w:r>
      <w:r>
        <w:rPr>
          <w:spacing w:val="9"/>
        </w:rPr>
        <w:t xml:space="preserve"> </w:t>
      </w:r>
      <w:r>
        <w:rPr>
          <w:spacing w:val="-4"/>
        </w:rPr>
        <w:t>产警示教育，开展一次安全生产暗访督导；开展“两项行动”:建</w:t>
      </w:r>
      <w:r>
        <w:rPr>
          <w:spacing w:val="17"/>
        </w:rPr>
        <w:t xml:space="preserve"> </w:t>
      </w:r>
      <w:r>
        <w:rPr/>
        <w:t>筑保温材料和工程动火作业全链条整治集中指导帮扶行动，暗访</w:t>
      </w:r>
      <w:r>
        <w:rPr/>
        <w:t xml:space="preserve">  </w:t>
      </w:r>
      <w:r>
        <w:rPr/>
        <w:t>暗查暨重大事故隐患通报曝光行动。协会、企业要组织在建项目</w:t>
      </w:r>
      <w:r>
        <w:rPr>
          <w:spacing w:val="8"/>
        </w:rPr>
        <w:t xml:space="preserve">  </w:t>
      </w:r>
      <w:r>
        <w:rPr>
          <w:spacing w:val="-6"/>
        </w:rPr>
        <w:t>开展集中学习研讨、安全生产大家谈、班前安全喊话、以案释法、</w:t>
      </w:r>
      <w:r>
        <w:rPr>
          <w:spacing w:val="13"/>
        </w:rPr>
        <w:t xml:space="preserve"> </w:t>
      </w:r>
      <w:r>
        <w:rPr>
          <w:spacing w:val="1"/>
        </w:rPr>
        <w:t>以案促改等学习实践活动，推动安全生产理念入脑入心、落地见</w:t>
      </w:r>
      <w:r>
        <w:rPr/>
        <w:t xml:space="preserve"> </w:t>
      </w:r>
      <w:r>
        <w:rPr/>
        <w:t>效，大力推动安全生产治理模式向事前预防转型，全力完成治本</w:t>
      </w:r>
      <w:r>
        <w:rPr>
          <w:spacing w:val="9"/>
        </w:rPr>
        <w:t xml:space="preserve">  </w:t>
      </w:r>
      <w:r>
        <w:rPr>
          <w:spacing w:val="1"/>
        </w:rPr>
        <w:t>攻坚三年行动圆满收官各项任务，更好保障人</w:t>
      </w:r>
      <w:r>
        <w:rPr/>
        <w:t>民群众生命财产安</w:t>
      </w:r>
      <w:r>
        <w:rPr/>
        <w:t xml:space="preserve"> </w:t>
      </w:r>
      <w:r>
        <w:rPr>
          <w:spacing w:val="-18"/>
        </w:rPr>
        <w:t>全。</w:t>
      </w:r>
    </w:p>
    <w:p>
      <w:pPr>
        <w:ind w:left="809"/>
        <w:spacing w:before="16" w:line="220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-2"/>
        </w:rPr>
        <w:t>(二)组织开展隐患排查整治行动，推动重大隐患动态清零</w:t>
      </w:r>
    </w:p>
    <w:p>
      <w:pPr>
        <w:pStyle w:val="BodyText"/>
        <w:ind w:right="77" w:firstLine="699"/>
        <w:spacing w:before="173" w:line="325" w:lineRule="auto"/>
        <w:rPr/>
      </w:pPr>
      <w:r>
        <w:rPr>
          <w:spacing w:val="-11"/>
        </w:rPr>
        <w:t>一是企业全面自查自纠。深化房建工程“安全隐患排查日</w:t>
      </w:r>
      <w:r>
        <w:rPr>
          <w:spacing w:val="-12"/>
        </w:rPr>
        <w:t>”活</w:t>
      </w:r>
      <w:r>
        <w:rPr/>
        <w:t xml:space="preserve"> </w:t>
      </w:r>
      <w:r>
        <w:rPr>
          <w:spacing w:val="1"/>
        </w:rPr>
        <w:t>动机制，各项目参建单位对标对表中央安全生产</w:t>
      </w:r>
      <w:r>
        <w:rPr/>
        <w:t>考核一季度暗访</w:t>
      </w:r>
      <w:r>
        <w:rPr/>
        <w:t xml:space="preserve"> </w:t>
      </w:r>
      <w:r>
        <w:rPr>
          <w:spacing w:val="1"/>
        </w:rPr>
        <w:t>暗查反馈问题，全面开展拉网式、全覆盖自</w:t>
      </w:r>
      <w:r>
        <w:rPr/>
        <w:t>查自纠，高效运行安</w:t>
      </w:r>
      <w:r>
        <w:rPr/>
        <w:t xml:space="preserve"> </w:t>
      </w:r>
      <w:r>
        <w:rPr>
          <w:spacing w:val="1"/>
        </w:rPr>
        <w:t>全风险分级管控和隐患排查治理双重预防机制，推动共性同类隐</w:t>
      </w:r>
      <w:r>
        <w:rPr>
          <w:spacing w:val="1"/>
        </w:rPr>
        <w:t xml:space="preserve"> </w:t>
      </w:r>
      <w:r>
        <w:rPr>
          <w:spacing w:val="1"/>
        </w:rPr>
        <w:t>患自查纠治到位。二是对标排查重大事故隐患</w:t>
      </w:r>
      <w:r>
        <w:rPr/>
        <w:t>。对照房屋市政工</w:t>
      </w:r>
      <w:r>
        <w:rPr/>
        <w:t xml:space="preserve"> </w:t>
      </w:r>
      <w:r>
        <w:rPr>
          <w:spacing w:val="1"/>
        </w:rPr>
        <w:t>程重大事故隐患判定标准，逐项排查安管人员配备、危大工程管</w:t>
      </w:r>
    </w:p>
    <w:p>
      <w:pPr>
        <w:spacing w:line="325" w:lineRule="auto"/>
        <w:sectPr>
          <w:footerReference w:type="default" r:id="rId3"/>
          <w:pgSz w:w="11530" w:h="16840"/>
          <w:pgMar w:top="1431" w:right="1179" w:bottom="1379" w:left="1230" w:header="0" w:footer="1091" w:gutter="0"/>
        </w:sectPr>
        <w:rPr/>
      </w:pPr>
    </w:p>
    <w:p>
      <w:pPr>
        <w:pStyle w:val="BodyText"/>
        <w:spacing w:before="226" w:line="325" w:lineRule="auto"/>
        <w:rPr/>
      </w:pPr>
      <w:r>
        <w:rPr>
          <w:spacing w:val="1"/>
        </w:rPr>
        <w:t>控、特种作业人员持证上岗、起重吊装、高处作业等关键环</w:t>
      </w:r>
      <w:r>
        <w:rPr/>
        <w:t>节部</w:t>
      </w:r>
      <w:r>
        <w:rPr/>
        <w:t xml:space="preserve">   </w:t>
      </w:r>
      <w:r>
        <w:rPr>
          <w:spacing w:val="-14"/>
        </w:rPr>
        <w:t>位，对排查出的重大事故隐患，按照市《重大隐患自查自纠指南》,</w:t>
      </w:r>
      <w:r>
        <w:rPr>
          <w:spacing w:val="5"/>
        </w:rPr>
        <w:t xml:space="preserve">  </w:t>
      </w:r>
      <w:r>
        <w:rPr/>
        <w:t>认真上报、整改闭环，实现重大隐患查得出，改得好，动态清零。</w:t>
      </w:r>
      <w:r>
        <w:rPr/>
        <w:t xml:space="preserve"> </w:t>
      </w:r>
      <w:r>
        <w:rPr/>
        <w:t>三是监管部门全方位督导检查。市、区两级监管联合开展全方位、</w:t>
      </w:r>
      <w:r>
        <w:rPr/>
        <w:t xml:space="preserve"> </w:t>
      </w:r>
      <w:r>
        <w:rPr>
          <w:spacing w:val="-10"/>
        </w:rPr>
        <w:t>穿透式隐患排查行动，采取“四不两直”、明察暗访、飞行检</w:t>
      </w:r>
      <w:r>
        <w:rPr>
          <w:spacing w:val="-11"/>
        </w:rPr>
        <w:t>查等</w:t>
      </w:r>
      <w:r>
        <w:rPr/>
        <w:t xml:space="preserve">   </w:t>
      </w:r>
      <w:r>
        <w:rPr>
          <w:spacing w:val="1"/>
        </w:rPr>
        <w:t>方式，对所有在建项目开展一次全覆盖的安全生产抽</w:t>
      </w:r>
      <w:r>
        <w:rPr/>
        <w:t>检，督促压</w:t>
      </w:r>
      <w:r>
        <w:rPr/>
        <w:t xml:space="preserve">   </w:t>
      </w:r>
      <w:r>
        <w:rPr>
          <w:spacing w:val="1"/>
        </w:rPr>
        <w:t>实企业主体责任，切实履行业监管责任。四是深化“安全啄木鸟”</w:t>
      </w:r>
      <w:r>
        <w:rPr>
          <w:spacing w:val="11"/>
        </w:rPr>
        <w:t xml:space="preserve"> </w:t>
      </w:r>
      <w:r>
        <w:rPr>
          <w:spacing w:val="1"/>
        </w:rPr>
        <w:t>隐患举报机制。全面推动全市房建工程项目持续落实完善内部隐</w:t>
      </w:r>
      <w:r>
        <w:rPr/>
        <w:t xml:space="preserve">   </w:t>
      </w:r>
      <w:r>
        <w:rPr>
          <w:spacing w:val="1"/>
        </w:rPr>
        <w:t>患报告奖励制度，鼓励一线作业人员、项目管理人员主动上报身</w:t>
      </w:r>
      <w:r>
        <w:rPr>
          <w:spacing w:val="2"/>
        </w:rPr>
        <w:t xml:space="preserve">   </w:t>
      </w:r>
      <w:r>
        <w:rPr>
          <w:spacing w:val="2"/>
        </w:rPr>
        <w:t>边安全隐患，做到小隐患小奖、大隐患大奖，形成安</w:t>
      </w:r>
      <w:r>
        <w:rPr>
          <w:spacing w:val="1"/>
        </w:rPr>
        <w:t>全生产全员</w:t>
      </w:r>
      <w:r>
        <w:rPr/>
        <w:t xml:space="preserve">   </w:t>
      </w:r>
      <w:r>
        <w:rPr>
          <w:spacing w:val="-5"/>
        </w:rPr>
        <w:t>参与、群防群治的良好格局。</w:t>
      </w:r>
    </w:p>
    <w:p>
      <w:pPr>
        <w:ind w:right="293" w:firstLine="790"/>
        <w:spacing w:before="41" w:line="341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18"/>
        </w:rPr>
        <w:t>(三)组织开展安全生产综合演练活动，提升应急处置实战</w:t>
      </w:r>
      <w:r>
        <w:rPr>
          <w:rFonts w:ascii="KaiTi" w:hAnsi="KaiTi" w:eastAsia="KaiTi" w:cs="KaiTi"/>
          <w:sz w:val="31"/>
          <w:szCs w:val="31"/>
          <w:spacing w:val="18"/>
        </w:rPr>
        <w:t xml:space="preserve"> </w:t>
      </w:r>
      <w:r>
        <w:rPr>
          <w:rFonts w:ascii="KaiTi" w:hAnsi="KaiTi" w:eastAsia="KaiTi" w:cs="KaiTi"/>
          <w:sz w:val="31"/>
          <w:szCs w:val="31"/>
          <w:spacing w:val="8"/>
        </w:rPr>
        <w:t>能力</w:t>
      </w:r>
    </w:p>
    <w:p>
      <w:pPr>
        <w:pStyle w:val="BodyText"/>
        <w:ind w:right="201" w:firstLine="649"/>
        <w:spacing w:before="2" w:line="325" w:lineRule="auto"/>
        <w:rPr/>
      </w:pPr>
      <w:r>
        <w:rPr>
          <w:spacing w:val="5"/>
        </w:rPr>
        <w:t>围绕隐患识别、应急处置、避险疏散，重点开展基</w:t>
      </w:r>
      <w:r>
        <w:rPr>
          <w:spacing w:val="4"/>
        </w:rPr>
        <w:t>坑(支模)</w:t>
      </w:r>
      <w:r>
        <w:rPr/>
        <w:t xml:space="preserve"> </w:t>
      </w:r>
      <w:r>
        <w:rPr>
          <w:spacing w:val="1"/>
        </w:rPr>
        <w:t>坍塌、高坠、触电、有限空间应急演练，检</w:t>
      </w:r>
      <w:r>
        <w:rPr/>
        <w:t>验应急队伍的快速反</w:t>
      </w:r>
      <w:r>
        <w:rPr/>
        <w:t xml:space="preserve"> </w:t>
      </w:r>
      <w:r>
        <w:rPr>
          <w:spacing w:val="-6"/>
        </w:rPr>
        <w:t>应能力、设备物资备勤能力和救援疏散能力。结合当前气温升温、</w:t>
      </w:r>
      <w:r>
        <w:rPr>
          <w:spacing w:val="12"/>
        </w:rPr>
        <w:t xml:space="preserve"> </w:t>
      </w:r>
      <w:r>
        <w:rPr>
          <w:spacing w:val="1"/>
        </w:rPr>
        <w:t>对流天气降水较多的季节特点，临江项目集中的</w:t>
      </w:r>
      <w:r>
        <w:rPr/>
        <w:t>各区，应加强基</w:t>
      </w:r>
      <w:r>
        <w:rPr/>
        <w:t xml:space="preserve"> </w:t>
      </w:r>
      <w:r>
        <w:rPr>
          <w:spacing w:val="-1"/>
        </w:rPr>
        <w:t>坑围堰涌水涌沙演练活动组织；其他各区应结合事故多发场</w:t>
      </w:r>
      <w:r>
        <w:rPr>
          <w:spacing w:val="-2"/>
        </w:rPr>
        <w:t>景，</w:t>
      </w:r>
    </w:p>
    <w:p>
      <w:pPr>
        <w:pStyle w:val="BodyText"/>
        <w:ind w:right="201"/>
        <w:spacing w:before="5" w:line="324" w:lineRule="auto"/>
        <w:rPr/>
      </w:pPr>
      <w:r>
        <w:rPr>
          <w:spacing w:val="12"/>
        </w:rPr>
        <w:t>加强组织高坠事故、有限空间作业事故、触电(雷击)、火灾等</w:t>
      </w:r>
      <w:r>
        <w:rPr>
          <w:spacing w:val="13"/>
        </w:rPr>
        <w:t xml:space="preserve"> </w:t>
      </w:r>
      <w:r>
        <w:rPr>
          <w:spacing w:val="1"/>
        </w:rPr>
        <w:t>场景的应急演练。鼓励各级联合相关部门、企业、协会单位广泛</w:t>
      </w:r>
      <w:r>
        <w:rPr>
          <w:spacing w:val="10"/>
        </w:rPr>
        <w:t xml:space="preserve"> </w:t>
      </w:r>
      <w:r>
        <w:rPr>
          <w:spacing w:val="-1"/>
        </w:rPr>
        <w:t>开展形式多样的演练活动，推动行业应急基础建设和安</w:t>
      </w:r>
      <w:r>
        <w:rPr>
          <w:spacing w:val="-2"/>
        </w:rPr>
        <w:t>全培训，</w:t>
      </w:r>
      <w:r>
        <w:rPr/>
        <w:t xml:space="preserve">  </w:t>
      </w:r>
      <w:r>
        <w:rPr>
          <w:spacing w:val="-6"/>
        </w:rPr>
        <w:t>增强全市项目全员的安全防范意识，提高一线作业人员应急处置、</w:t>
      </w:r>
      <w:r>
        <w:rPr>
          <w:spacing w:val="12"/>
        </w:rPr>
        <w:t xml:space="preserve"> </w:t>
      </w:r>
      <w:r>
        <w:rPr>
          <w:spacing w:val="1"/>
        </w:rPr>
        <w:t>逃生避险能力。各区应在6月25日前完成演练活动，</w:t>
      </w:r>
      <w:r>
        <w:rPr>
          <w:spacing w:val="1"/>
        </w:rPr>
        <w:t xml:space="preserve"> </w:t>
      </w:r>
      <w:r>
        <w:rPr>
          <w:spacing w:val="1"/>
        </w:rPr>
        <w:t>一并汇总演</w:t>
      </w:r>
      <w:r>
        <w:rPr>
          <w:spacing w:val="12"/>
        </w:rPr>
        <w:t xml:space="preserve"> </w:t>
      </w:r>
      <w:r>
        <w:rPr>
          <w:spacing w:val="1"/>
        </w:rPr>
        <w:t>练方案、实施评估、影像资料等总结性报告材料，报送市局质安</w:t>
      </w:r>
    </w:p>
    <w:p>
      <w:pPr>
        <w:spacing w:line="324" w:lineRule="auto"/>
        <w:sectPr>
          <w:footerReference w:type="default" r:id="rId4"/>
          <w:pgSz w:w="11680" w:h="16870"/>
          <w:pgMar w:top="1433" w:right="948" w:bottom="1414" w:left="1410" w:header="0" w:footer="1090" w:gutter="0"/>
        </w:sectPr>
        <w:rPr/>
      </w:pPr>
    </w:p>
    <w:p>
      <w:pPr>
        <w:pStyle w:val="BodyText"/>
        <w:ind w:left="160"/>
        <w:spacing w:before="268" w:line="229" w:lineRule="auto"/>
        <w:rPr/>
      </w:pPr>
      <w:r>
        <w:rPr>
          <w:spacing w:val="-12"/>
        </w:rPr>
        <w:t>处。</w:t>
      </w:r>
    </w:p>
    <w:p>
      <w:pPr>
        <w:ind w:left="160" w:right="114" w:firstLine="779"/>
        <w:spacing w:before="142" w:line="342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18"/>
        </w:rPr>
        <w:t>(四)组织“安全宣传咨询日”宣教活动，营造安</w:t>
      </w:r>
      <w:r>
        <w:rPr>
          <w:rFonts w:ascii="KaiTi" w:hAnsi="KaiTi" w:eastAsia="KaiTi" w:cs="KaiTi"/>
          <w:sz w:val="31"/>
          <w:szCs w:val="31"/>
          <w:spacing w:val="17"/>
        </w:rPr>
        <w:t>全生产良</w:t>
      </w:r>
      <w:r>
        <w:rPr>
          <w:rFonts w:ascii="KaiTi" w:hAnsi="KaiTi" w:eastAsia="KaiTi" w:cs="KaiTi"/>
          <w:sz w:val="31"/>
          <w:szCs w:val="31"/>
        </w:rPr>
        <w:t xml:space="preserve"> </w:t>
      </w:r>
      <w:r>
        <w:rPr>
          <w:rFonts w:ascii="KaiTi" w:hAnsi="KaiTi" w:eastAsia="KaiTi" w:cs="KaiTi"/>
          <w:sz w:val="31"/>
          <w:szCs w:val="31"/>
          <w:spacing w:val="6"/>
        </w:rPr>
        <w:t>好氛围</w:t>
      </w:r>
    </w:p>
    <w:p>
      <w:pPr>
        <w:pStyle w:val="BodyText"/>
        <w:ind w:firstLine="799"/>
        <w:spacing w:before="4" w:line="324" w:lineRule="auto"/>
        <w:jc w:val="both"/>
        <w:rPr/>
      </w:pPr>
      <w:r>
        <w:rPr>
          <w:spacing w:val="-4"/>
        </w:rPr>
        <w:t>6月16日前后，结合省“安全宣传咨询日”活动，市局将通过</w:t>
      </w:r>
      <w:r>
        <w:rPr>
          <w:spacing w:val="6"/>
        </w:rPr>
        <w:t xml:space="preserve"> </w:t>
      </w:r>
      <w:r>
        <w:rPr>
          <w:spacing w:val="-4"/>
        </w:rPr>
        <w:t>“建安营”平台同步上线省、市专家专题讲堂。各区依托活动，至</w:t>
      </w:r>
      <w:r>
        <w:rPr>
          <w:spacing w:val="9"/>
        </w:rPr>
        <w:t xml:space="preserve"> </w:t>
      </w:r>
      <w:r>
        <w:rPr>
          <w:spacing w:val="-5"/>
        </w:rPr>
        <w:t>少组织开展一次“五进”宣讲，组织辖区管理项目安全教育和答疑</w:t>
      </w:r>
      <w:r>
        <w:rPr>
          <w:spacing w:val="15"/>
        </w:rPr>
        <w:t xml:space="preserve"> </w:t>
      </w:r>
      <w:r>
        <w:rPr>
          <w:spacing w:val="4"/>
        </w:rPr>
        <w:t>咨询。生产企业及协会可在组织观摩项目内，集中设置咨</w:t>
      </w:r>
      <w:r>
        <w:rPr>
          <w:spacing w:val="3"/>
        </w:rPr>
        <w:t>询台，</w:t>
      </w:r>
      <w:r>
        <w:rPr/>
        <w:t xml:space="preserve">  </w:t>
      </w:r>
      <w:r>
        <w:rPr>
          <w:spacing w:val="7"/>
        </w:rPr>
        <w:t>布置展板、宣传页，设立安全模型，鼓励有</w:t>
      </w:r>
      <w:r>
        <w:rPr>
          <w:spacing w:val="6"/>
        </w:rPr>
        <w:t>条件的企业开放安全</w:t>
      </w:r>
      <w:r>
        <w:rPr/>
        <w:t xml:space="preserve"> </w:t>
      </w:r>
      <w:r>
        <w:rPr>
          <w:spacing w:val="4"/>
        </w:rPr>
        <w:t>体验馆，邀请安全专家、企业主要负责人分享授课、提</w:t>
      </w:r>
      <w:r>
        <w:rPr>
          <w:spacing w:val="3"/>
        </w:rPr>
        <w:t>供咨询，</w:t>
      </w:r>
      <w:r>
        <w:rPr/>
        <w:t xml:space="preserve">  </w:t>
      </w:r>
      <w:r>
        <w:rPr>
          <w:spacing w:val="6"/>
        </w:rPr>
        <w:t>面向社会群众和广大从业人员，宣讲设备作业、高处作业以及动</w:t>
      </w:r>
      <w:r>
        <w:rPr>
          <w:spacing w:val="12"/>
        </w:rPr>
        <w:t xml:space="preserve"> </w:t>
      </w:r>
      <w:r>
        <w:rPr>
          <w:spacing w:val="-1"/>
        </w:rPr>
        <w:t>火、用电、有限空间的安全生产知识，展示类型隐患、安全标识、</w:t>
      </w:r>
      <w:r>
        <w:rPr>
          <w:spacing w:val="17"/>
        </w:rPr>
        <w:t xml:space="preserve"> </w:t>
      </w:r>
      <w:r>
        <w:rPr>
          <w:spacing w:val="-1"/>
        </w:rPr>
        <w:t>生命通道等，贯彻“安全隐患识别与消除”和事故案例警示教育，</w:t>
      </w:r>
      <w:r>
        <w:rPr>
          <w:spacing w:val="17"/>
        </w:rPr>
        <w:t xml:space="preserve"> </w:t>
      </w:r>
      <w:r>
        <w:rPr>
          <w:spacing w:val="4"/>
        </w:rPr>
        <w:t>充分营造全员学习安全和应急良好氛围。本着务实简约</w:t>
      </w:r>
      <w:r>
        <w:rPr>
          <w:spacing w:val="3"/>
        </w:rPr>
        <w:t>的原则，</w:t>
      </w:r>
      <w:r>
        <w:rPr/>
        <w:t xml:space="preserve">  </w:t>
      </w:r>
      <w:r>
        <w:rPr>
          <w:spacing w:val="5"/>
        </w:rPr>
        <w:t>各单位应加强线下线上相交互的宣教方式。</w:t>
      </w:r>
    </w:p>
    <w:p>
      <w:pPr>
        <w:ind w:left="950"/>
        <w:spacing w:before="49" w:line="220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17"/>
        </w:rPr>
        <w:t>(五)组织开展安全生产标准化观摩活动，突出标杆引领</w:t>
      </w:r>
    </w:p>
    <w:p>
      <w:pPr>
        <w:pStyle w:val="BodyText"/>
        <w:ind w:left="160" w:right="103" w:firstLine="489"/>
        <w:spacing w:before="214" w:line="324" w:lineRule="auto"/>
        <w:rPr/>
      </w:pPr>
      <w:r>
        <w:rPr>
          <w:spacing w:val="-5"/>
        </w:rPr>
        <w:t>“安全生产月”活动期间，遴选一批市级房屋建筑工程安全生</w:t>
      </w:r>
      <w:r>
        <w:rPr/>
        <w:t xml:space="preserve"> </w:t>
      </w:r>
      <w:r>
        <w:rPr>
          <w:spacing w:val="18"/>
        </w:rPr>
        <w:t>产标准化示范观摩项目(项目名单详见后附)。各区至少组织1</w:t>
      </w:r>
      <w:r>
        <w:rPr>
          <w:spacing w:val="18"/>
        </w:rPr>
        <w:t xml:space="preserve"> </w:t>
      </w:r>
      <w:r>
        <w:rPr>
          <w:spacing w:val="1"/>
        </w:rPr>
        <w:t>次观摩交流活动，组织辖区企业、项目负责人开展线上线下观摩</w:t>
      </w:r>
      <w:r>
        <w:rPr>
          <w:spacing w:val="9"/>
        </w:rPr>
        <w:t xml:space="preserve"> </w:t>
      </w:r>
      <w:r>
        <w:rPr>
          <w:spacing w:val="1"/>
        </w:rPr>
        <w:t>学习，推广施工现场标准化、智能建造、数字监管等先进经验和</w:t>
      </w:r>
      <w:r>
        <w:rPr>
          <w:spacing w:val="16"/>
        </w:rPr>
        <w:t xml:space="preserve"> </w:t>
      </w:r>
      <w:r>
        <w:rPr>
          <w:spacing w:val="-10"/>
        </w:rPr>
        <w:t>管理模式。鼓励各企业创建自身安全文化，树立优秀企业形象，以</w:t>
      </w:r>
      <w:r>
        <w:rPr>
          <w:spacing w:val="15"/>
        </w:rPr>
        <w:t xml:space="preserve"> </w:t>
      </w:r>
      <w:r>
        <w:rPr>
          <w:spacing w:val="1"/>
        </w:rPr>
        <w:t>点促面大力营造落实安全责任、推动安全发展的浓厚氛围。建立</w:t>
      </w:r>
      <w:r>
        <w:rPr>
          <w:spacing w:val="5"/>
        </w:rPr>
        <w:t xml:space="preserve"> </w:t>
      </w:r>
      <w:r>
        <w:rPr>
          <w:spacing w:val="1"/>
        </w:rPr>
        <w:t>常态化观摩项目机制，各区常态化培育标杆项目，符合标准经企</w:t>
      </w:r>
      <w:r>
        <w:rPr>
          <w:spacing w:val="3"/>
        </w:rPr>
        <w:t xml:space="preserve"> </w:t>
      </w:r>
      <w:r>
        <w:rPr>
          <w:spacing w:val="-1"/>
        </w:rPr>
        <w:t>业申请、属地监管审核、市局复核通过后，纳入市级观摩点位，</w:t>
      </w:r>
      <w:r>
        <w:rPr>
          <w:spacing w:val="7"/>
        </w:rPr>
        <w:t xml:space="preserve"> </w:t>
      </w:r>
      <w:r>
        <w:rPr>
          <w:spacing w:val="-9"/>
        </w:rPr>
        <w:t>定期进行公布。</w:t>
      </w:r>
    </w:p>
    <w:p>
      <w:pPr>
        <w:spacing w:line="324" w:lineRule="auto"/>
        <w:sectPr>
          <w:footerReference w:type="default" r:id="rId5"/>
          <w:pgSz w:w="11570" w:h="16860"/>
          <w:pgMar w:top="1433" w:right="1239" w:bottom="1421" w:left="1060" w:header="0" w:footer="1069" w:gutter="0"/>
        </w:sectPr>
        <w:rPr/>
      </w:pPr>
    </w:p>
    <w:p>
      <w:pPr>
        <w:ind w:right="148" w:firstLine="789"/>
        <w:spacing w:before="187" w:line="323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-2"/>
        </w:rPr>
        <w:t>(六)组织安全生产知识竞赛活动，强化一线从业人员安全</w:t>
      </w:r>
      <w:r>
        <w:rPr>
          <w:rFonts w:ascii="KaiTi" w:hAnsi="KaiTi" w:eastAsia="KaiTi" w:cs="KaiTi"/>
          <w:sz w:val="33"/>
          <w:szCs w:val="33"/>
          <w:spacing w:val="12"/>
        </w:rPr>
        <w:t xml:space="preserve"> </w:t>
      </w:r>
      <w:r>
        <w:rPr>
          <w:rFonts w:ascii="KaiTi" w:hAnsi="KaiTi" w:eastAsia="KaiTi" w:cs="KaiTi"/>
          <w:sz w:val="33"/>
          <w:szCs w:val="33"/>
          <w:spacing w:val="-6"/>
        </w:rPr>
        <w:t>素养</w:t>
      </w:r>
    </w:p>
    <w:p>
      <w:pPr>
        <w:pStyle w:val="BodyText"/>
        <w:ind w:right="115" w:firstLine="650"/>
        <w:spacing w:before="13" w:line="324" w:lineRule="auto"/>
        <w:rPr/>
      </w:pPr>
      <w:r>
        <w:rPr>
          <w:spacing w:val="7"/>
        </w:rPr>
        <w:t>安全月期间，市将统一举办面向全市房建领域从业人员(含</w:t>
      </w:r>
      <w:r>
        <w:rPr>
          <w:spacing w:val="17"/>
        </w:rPr>
        <w:t xml:space="preserve"> </w:t>
      </w:r>
      <w:r>
        <w:rPr>
          <w:spacing w:val="11"/>
        </w:rPr>
        <w:t>管理人员和一线工人)的安全生产知识竞赛(由安全教育平台、</w:t>
      </w:r>
      <w:r>
        <w:rPr>
          <w:spacing w:val="1"/>
        </w:rPr>
        <w:t xml:space="preserve"> </w:t>
      </w:r>
      <w:r>
        <w:rPr>
          <w:spacing w:val="7"/>
        </w:rPr>
        <w:t>市行业协会具体承办，竞赛事宜及安排另行下发通</w:t>
      </w:r>
      <w:r>
        <w:rPr>
          <w:spacing w:val="6"/>
        </w:rPr>
        <w:t>知)。竞赛内</w:t>
      </w:r>
      <w:r>
        <w:rPr/>
        <w:t xml:space="preserve"> </w:t>
      </w:r>
      <w:r>
        <w:rPr>
          <w:spacing w:val="1"/>
        </w:rPr>
        <w:t>容重点涵盖重大事故隐患判定标准、安全生产法</w:t>
      </w:r>
      <w:r>
        <w:rPr/>
        <w:t>律法规、应急处</w:t>
      </w:r>
      <w:r>
        <w:rPr/>
        <w:t xml:space="preserve"> </w:t>
      </w:r>
      <w:r>
        <w:rPr/>
        <w:t>置技能等等。各在汉大型施工企业应自主内部选拔组建队伍，全</w:t>
      </w:r>
      <w:r>
        <w:rPr>
          <w:spacing w:val="17"/>
        </w:rPr>
        <w:t xml:space="preserve"> </w:t>
      </w:r>
      <w:r>
        <w:rPr>
          <w:spacing w:val="2"/>
        </w:rPr>
        <w:t>力备赛全市竞赛，以赛促学、以学促安，依托参赛竞</w:t>
      </w:r>
      <w:r>
        <w:rPr>
          <w:spacing w:val="1"/>
        </w:rPr>
        <w:t>赛活动营造</w:t>
      </w:r>
      <w:r>
        <w:rPr/>
        <w:t xml:space="preserve"> </w:t>
      </w:r>
      <w:r>
        <w:rPr>
          <w:spacing w:val="2"/>
        </w:rPr>
        <w:t>全员学安全、懂安全、守安全的良好氛围。各单位应通过专家解</w:t>
      </w:r>
      <w:r>
        <w:rPr>
          <w:spacing w:val="17"/>
        </w:rPr>
        <w:t xml:space="preserve"> </w:t>
      </w:r>
      <w:r>
        <w:rPr>
          <w:spacing w:val="-1"/>
        </w:rPr>
        <w:t>读、骨干宣讲、案例教学等形式，加强组织安全生产知识学习。</w:t>
      </w:r>
    </w:p>
    <w:p>
      <w:pPr>
        <w:ind w:left="789"/>
        <w:spacing w:before="46" w:line="224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-1"/>
        </w:rPr>
        <w:t>(七)建立完善常态化轮值座谈与交叉检查互帮互</w:t>
      </w:r>
      <w:r>
        <w:rPr>
          <w:rFonts w:ascii="KaiTi" w:hAnsi="KaiTi" w:eastAsia="KaiTi" w:cs="KaiTi"/>
          <w:sz w:val="33"/>
          <w:szCs w:val="33"/>
          <w:spacing w:val="-2"/>
        </w:rPr>
        <w:t>学机制</w:t>
      </w:r>
    </w:p>
    <w:p>
      <w:pPr>
        <w:pStyle w:val="BodyText"/>
        <w:ind w:firstLine="650"/>
        <w:spacing w:before="168" w:line="325" w:lineRule="auto"/>
        <w:rPr/>
      </w:pPr>
      <w:r>
        <w:rPr>
          <w:spacing w:val="1"/>
        </w:rPr>
        <w:t>参照省厅建立市州轮流承办交流观摩活动机制，建立常态化</w:t>
      </w:r>
      <w:r>
        <w:rPr>
          <w:spacing w:val="16"/>
        </w:rPr>
        <w:t xml:space="preserve"> </w:t>
      </w:r>
      <w:r>
        <w:rPr>
          <w:spacing w:val="1"/>
        </w:rPr>
        <w:t>各区轮值座谈交流机制，围绕房建领域安全生产重点工作，推动</w:t>
      </w:r>
      <w:r>
        <w:rPr>
          <w:spacing w:val="1"/>
        </w:rPr>
        <w:t xml:space="preserve">  </w:t>
      </w:r>
      <w:r>
        <w:rPr>
          <w:spacing w:val="1"/>
        </w:rPr>
        <w:t>各区积极参与城市更新安全风险管控、智能建造与安全生产</w:t>
      </w:r>
      <w:r>
        <w:rPr/>
        <w:t>深度</w:t>
      </w:r>
      <w:r>
        <w:rPr/>
        <w:t xml:space="preserve">  </w:t>
      </w:r>
      <w:r>
        <w:rPr>
          <w:spacing w:val="-1"/>
        </w:rPr>
        <w:t>融合、危大工程管理等主题交流研讨，学习先进地区经验做法。</w:t>
      </w:r>
      <w:r>
        <w:rPr>
          <w:spacing w:val="8"/>
        </w:rPr>
        <w:t xml:space="preserve">  </w:t>
      </w:r>
      <w:r>
        <w:rPr>
          <w:spacing w:val="1"/>
        </w:rPr>
        <w:t>同时，建立我市房建工程交叉检查互帮互学机制，在各区监管抽</w:t>
      </w:r>
      <w:r>
        <w:rPr>
          <w:spacing w:val="3"/>
        </w:rPr>
        <w:t xml:space="preserve">  </w:t>
      </w:r>
      <w:r>
        <w:rPr>
          <w:spacing w:val="-5"/>
        </w:rPr>
        <w:t>调骨干参与全市常态化帮扶指导，采取以查代训、以学促干模式，</w:t>
      </w:r>
      <w:r>
        <w:rPr>
          <w:spacing w:val="14"/>
        </w:rPr>
        <w:t xml:space="preserve"> </w:t>
      </w:r>
      <w:r>
        <w:rPr>
          <w:spacing w:val="-5"/>
        </w:rPr>
        <w:t>深入项目现场查隐患、找问题、学经验，在实战练兵中取长补短、</w:t>
      </w:r>
      <w:r>
        <w:rPr>
          <w:spacing w:val="14"/>
        </w:rPr>
        <w:t xml:space="preserve"> </w:t>
      </w:r>
      <w:r>
        <w:rPr>
          <w:spacing w:val="-3"/>
        </w:rPr>
        <w:t>互帮互学，促进全市监管队伍能力与质效全面提升。</w:t>
      </w:r>
    </w:p>
    <w:p>
      <w:pPr>
        <w:ind w:left="650"/>
        <w:spacing w:before="36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2"/>
        </w:rPr>
        <w:t>三、活动要求</w:t>
      </w:r>
    </w:p>
    <w:p>
      <w:pPr>
        <w:pStyle w:val="BodyText"/>
        <w:ind w:right="126" w:firstLine="789"/>
        <w:spacing w:before="175" w:line="326" w:lineRule="auto"/>
        <w:jc w:val="both"/>
        <w:rPr/>
      </w:pPr>
      <w:r>
        <w:rPr>
          <w:rFonts w:ascii="KaiTi" w:hAnsi="KaiTi" w:eastAsia="KaiTi" w:cs="KaiTi"/>
          <w:spacing w:val="2"/>
        </w:rPr>
        <w:t>(一)强化组织发动。</w:t>
      </w:r>
      <w:r>
        <w:rPr>
          <w:rFonts w:ascii="KaiTi" w:hAnsi="KaiTi" w:eastAsia="KaiTi" w:cs="KaiTi"/>
          <w:spacing w:val="2"/>
        </w:rPr>
        <w:t xml:space="preserve"> </w:t>
      </w:r>
      <w:r>
        <w:rPr>
          <w:spacing w:val="2"/>
        </w:rPr>
        <w:t>各单位主要负责人要亲自部署、明确</w:t>
      </w:r>
      <w:r>
        <w:rPr>
          <w:spacing w:val="18"/>
        </w:rPr>
        <w:t xml:space="preserve"> </w:t>
      </w:r>
      <w:r>
        <w:rPr>
          <w:spacing w:val="-9"/>
        </w:rPr>
        <w:t>分工，确保“安全月”活动有计划、有组织、有实施</w:t>
      </w:r>
      <w:r>
        <w:rPr>
          <w:spacing w:val="-10"/>
        </w:rPr>
        <w:t>、有总结。要</w:t>
      </w:r>
      <w:r>
        <w:rPr/>
        <w:t xml:space="preserve"> </w:t>
      </w:r>
      <w:r>
        <w:rPr>
          <w:spacing w:val="2"/>
        </w:rPr>
        <w:t>增强活动开展与宣传报道相结合，积极组织和广泛发</w:t>
      </w:r>
      <w:r>
        <w:rPr>
          <w:spacing w:val="1"/>
        </w:rPr>
        <w:t>动从业人员</w:t>
      </w:r>
      <w:r>
        <w:rPr/>
        <w:t xml:space="preserve"> </w:t>
      </w:r>
      <w:r>
        <w:rPr>
          <w:spacing w:val="-16"/>
        </w:rPr>
        <w:t>参与。</w:t>
      </w:r>
    </w:p>
    <w:p>
      <w:pPr>
        <w:spacing w:line="326" w:lineRule="auto"/>
        <w:sectPr>
          <w:footerReference w:type="default" r:id="rId6"/>
          <w:pgSz w:w="11650" w:h="16870"/>
          <w:pgMar w:top="1433" w:right="1099" w:bottom="1434" w:left="1399" w:header="0" w:footer="1110" w:gutter="0"/>
        </w:sectPr>
        <w:rPr/>
      </w:pPr>
    </w:p>
    <w:p>
      <w:pPr>
        <w:pStyle w:val="BodyText"/>
        <w:ind w:right="106" w:firstLine="780"/>
        <w:spacing w:before="236" w:line="302" w:lineRule="auto"/>
        <w:rPr/>
      </w:pPr>
      <w:r>
        <w:rPr>
          <w:rFonts w:ascii="KaiTi" w:hAnsi="KaiTi" w:eastAsia="KaiTi" w:cs="KaiTi"/>
          <w:spacing w:val="2"/>
        </w:rPr>
        <w:t>(二)注重活动实效。</w:t>
      </w:r>
      <w:r>
        <w:rPr>
          <w:rFonts w:ascii="KaiTi" w:hAnsi="KaiTi" w:eastAsia="KaiTi" w:cs="KaiTi"/>
          <w:spacing w:val="2"/>
        </w:rPr>
        <w:t xml:space="preserve"> </w:t>
      </w:r>
      <w:r>
        <w:rPr>
          <w:spacing w:val="2"/>
        </w:rPr>
        <w:t>各单位应根据主题导向，紧密贴合具</w:t>
      </w:r>
      <w:r>
        <w:rPr>
          <w:spacing w:val="6"/>
        </w:rPr>
        <w:t xml:space="preserve"> </w:t>
      </w:r>
      <w:r>
        <w:rPr>
          <w:spacing w:val="1"/>
        </w:rPr>
        <w:t>体业务，通过安全月活动，坚定推动房建项目隐</w:t>
      </w:r>
      <w:r>
        <w:rPr/>
        <w:t>患自查自纠形成</w:t>
      </w:r>
      <w:r>
        <w:rPr/>
        <w:t xml:space="preserve"> </w:t>
      </w:r>
      <w:r>
        <w:rPr>
          <w:spacing w:val="1"/>
        </w:rPr>
        <w:t>机制、高效运行，以更高水平的安全生产行动力，确保房建工程</w:t>
      </w:r>
      <w:r>
        <w:rPr>
          <w:spacing w:val="14"/>
        </w:rPr>
        <w:t xml:space="preserve"> </w:t>
      </w:r>
      <w:r>
        <w:rPr>
          <w:spacing w:val="-4"/>
        </w:rPr>
        <w:t>安全生产治本攻坚三年行动圆满收官。</w:t>
      </w:r>
    </w:p>
    <w:p>
      <w:pPr>
        <w:pStyle w:val="BodyText"/>
        <w:ind w:firstLine="789"/>
        <w:spacing w:before="171" w:line="303" w:lineRule="auto"/>
        <w:rPr/>
      </w:pPr>
      <w:r>
        <w:rPr>
          <w:rFonts w:ascii="KaiTi" w:hAnsi="KaiTi" w:eastAsia="KaiTi" w:cs="KaiTi"/>
          <w:spacing w:val="-2"/>
        </w:rPr>
        <w:t>(</w:t>
      </w:r>
      <w:r>
        <w:rPr>
          <w:rFonts w:ascii="KaiTi" w:hAnsi="KaiTi" w:eastAsia="KaiTi" w:cs="KaiTi"/>
          <w:spacing w:val="-46"/>
        </w:rPr>
        <w:t xml:space="preserve"> </w:t>
      </w:r>
      <w:r>
        <w:rPr>
          <w:rFonts w:ascii="KaiTi" w:hAnsi="KaiTi" w:eastAsia="KaiTi" w:cs="KaiTi"/>
          <w:spacing w:val="-2"/>
        </w:rPr>
        <w:t>三</w:t>
      </w:r>
      <w:r>
        <w:rPr>
          <w:rFonts w:ascii="KaiTi" w:hAnsi="KaiTi" w:eastAsia="KaiTi" w:cs="KaiTi"/>
          <w:spacing w:val="-54"/>
        </w:rPr>
        <w:t xml:space="preserve"> </w:t>
      </w:r>
      <w:r>
        <w:rPr>
          <w:rFonts w:ascii="KaiTi" w:hAnsi="KaiTi" w:eastAsia="KaiTi" w:cs="KaiTi"/>
          <w:spacing w:val="-2"/>
        </w:rPr>
        <w:t>)加强信息报送。</w:t>
      </w:r>
      <w:r>
        <w:rPr>
          <w:spacing w:val="-2"/>
        </w:rPr>
        <w:t>各区要加强活动信息的收集、整理，</w:t>
      </w:r>
      <w:r>
        <w:rPr/>
        <w:t xml:space="preserve">  </w:t>
      </w:r>
      <w:r>
        <w:rPr>
          <w:spacing w:val="-1"/>
        </w:rPr>
        <w:t>及时向市局质安处报送。6月10日前，报送辖区安全月活动方案、</w:t>
      </w:r>
      <w:r>
        <w:rPr>
          <w:spacing w:val="18"/>
        </w:rPr>
        <w:t xml:space="preserve"> </w:t>
      </w:r>
      <w:r>
        <w:rPr>
          <w:spacing w:val="21"/>
        </w:rPr>
        <w:t>活动安排以及联络员信息(附件1、2);6月30日前，报送安全</w:t>
      </w:r>
      <w:r>
        <w:rPr>
          <w:spacing w:val="9"/>
        </w:rPr>
        <w:t xml:space="preserve">  </w:t>
      </w:r>
      <w:r>
        <w:rPr>
          <w:spacing w:val="23"/>
        </w:rPr>
        <w:t>月活动总结(盖章扫描文件和</w:t>
      </w:r>
      <w:r>
        <w:rPr>
          <w:spacing w:val="-95"/>
        </w:rPr>
        <w:t xml:space="preserve"> </w:t>
      </w:r>
      <w:r>
        <w:rPr>
          <w:rFonts w:ascii="Times New Roman" w:hAnsi="Times New Roman" w:eastAsia="Times New Roman" w:cs="Times New Roman"/>
        </w:rPr>
        <w:t>word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23"/>
        </w:rPr>
        <w:t>文本)及相关(活动</w:t>
      </w:r>
      <w:r>
        <w:rPr>
          <w:spacing w:val="22"/>
        </w:rPr>
        <w:t>经验、</w:t>
      </w:r>
      <w:r>
        <w:rPr/>
        <w:t xml:space="preserve">  </w:t>
      </w:r>
      <w:r>
        <w:rPr>
          <w:spacing w:val="-12"/>
        </w:rPr>
        <w:t>特色做法等)图片影像资料。活动期间如有重要</w:t>
      </w:r>
      <w:r>
        <w:rPr>
          <w:spacing w:val="-13"/>
        </w:rPr>
        <w:t>事项，可随时报送。</w:t>
      </w:r>
    </w:p>
    <w:p>
      <w:pPr>
        <w:spacing w:line="342" w:lineRule="auto"/>
        <w:rPr>
          <w:rFonts w:ascii="Arial"/>
          <w:sz w:val="21"/>
        </w:rPr>
      </w:pPr>
      <w:r/>
    </w:p>
    <w:p>
      <w:pPr>
        <w:spacing w:line="343" w:lineRule="auto"/>
        <w:rPr>
          <w:rFonts w:ascii="Arial"/>
          <w:sz w:val="21"/>
        </w:rPr>
      </w:pPr>
      <w:r/>
    </w:p>
    <w:p>
      <w:pPr>
        <w:pStyle w:val="BodyText"/>
        <w:ind w:left="670"/>
        <w:spacing w:before="100" w:line="222" w:lineRule="auto"/>
        <w:rPr>
          <w:sz w:val="31"/>
          <w:szCs w:val="31"/>
        </w:rPr>
      </w:pPr>
      <w:r>
        <w:rPr>
          <w:sz w:val="31"/>
          <w:szCs w:val="31"/>
          <w:spacing w:val="6"/>
        </w:rPr>
        <w:t>联系人：宋钰，刘峰</w:t>
      </w:r>
    </w:p>
    <w:p>
      <w:pPr>
        <w:pStyle w:val="BodyText"/>
        <w:ind w:left="670"/>
        <w:spacing w:before="190" w:line="223" w:lineRule="auto"/>
        <w:rPr/>
      </w:pPr>
      <w:r>
        <w:rPr>
          <w:spacing w:val="4"/>
        </w:rPr>
        <w:t>电</w:t>
      </w:r>
      <w:r>
        <w:rPr>
          <w:spacing w:val="4"/>
        </w:rPr>
        <w:t xml:space="preserve">  </w:t>
      </w:r>
      <w:r>
        <w:rPr>
          <w:spacing w:val="4"/>
        </w:rPr>
        <w:t>话：15871826083,027-8</w:t>
      </w:r>
      <w:r>
        <w:rPr>
          <w:spacing w:val="3"/>
        </w:rPr>
        <w:t>2705852</w:t>
      </w:r>
    </w:p>
    <w:p>
      <w:pPr>
        <w:pStyle w:val="BodyText"/>
        <w:ind w:left="670"/>
        <w:spacing w:before="188" w:line="212" w:lineRule="auto"/>
        <w:rPr>
          <w:rFonts w:ascii="Times New Roman" w:hAnsi="Times New Roman" w:eastAsia="Times New Roman" w:cs="Times New Roman"/>
        </w:rPr>
      </w:pPr>
      <w:r>
        <w:rPr>
          <w:spacing w:val="-5"/>
        </w:rPr>
        <w:t>邮</w:t>
      </w:r>
      <w:r>
        <w:rPr>
          <w:spacing w:val="30"/>
        </w:rPr>
        <w:t xml:space="preserve">  </w:t>
      </w:r>
      <w:r>
        <w:rPr>
          <w:spacing w:val="-5"/>
        </w:rPr>
        <w:t>箱：</w:t>
      </w:r>
      <w:r>
        <w:rPr>
          <w:rFonts w:ascii="Times New Roman" w:hAnsi="Times New Roman" w:eastAsia="Times New Roman" w:cs="Times New Roman"/>
          <w:spacing w:val="-5"/>
        </w:rPr>
        <w:t>zjjzac610@163.com</w:t>
      </w:r>
    </w:p>
    <w:p>
      <w:pPr>
        <w:spacing w:line="328" w:lineRule="auto"/>
        <w:rPr>
          <w:rFonts w:ascii="Arial"/>
          <w:sz w:val="21"/>
        </w:rPr>
      </w:pPr>
      <w:r/>
    </w:p>
    <w:p>
      <w:pPr>
        <w:spacing w:line="328" w:lineRule="auto"/>
        <w:rPr>
          <w:rFonts w:ascii="Arial"/>
          <w:sz w:val="21"/>
        </w:rPr>
      </w:pPr>
      <w:r/>
    </w:p>
    <w:p>
      <w:pPr>
        <w:pStyle w:val="BodyText"/>
        <w:ind w:left="670"/>
        <w:spacing w:before="105" w:line="222" w:lineRule="auto"/>
        <w:rPr/>
      </w:pPr>
      <w:r>
        <w:rPr>
          <w:spacing w:val="-5"/>
        </w:rPr>
        <w:t>附件：1.2026年“安全生产月”活动联络员表</w:t>
      </w:r>
    </w:p>
    <w:p>
      <w:pPr>
        <w:pStyle w:val="BodyText"/>
        <w:ind w:left="1620"/>
        <w:spacing w:before="167" w:line="222" w:lineRule="auto"/>
        <w:rPr/>
      </w:pPr>
      <w:r>
        <w:rPr>
          <w:spacing w:val="-5"/>
        </w:rPr>
        <w:t>2.2026年“安全生产月”重点活动安排表</w:t>
      </w:r>
    </w:p>
    <w:p>
      <w:pPr>
        <w:pStyle w:val="BodyText"/>
        <w:ind w:left="1620"/>
        <w:spacing w:before="192" w:line="221" w:lineRule="auto"/>
        <w:rPr/>
      </w:pPr>
      <w:r>
        <w:rPr>
          <w:spacing w:val="-4"/>
        </w:rPr>
        <w:t>3.2026年市级“安全生产月”推荐观摩项目清单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4159"/>
        <w:spacing w:before="105" w:line="222" w:lineRule="auto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3282954</wp:posOffset>
            </wp:positionH>
            <wp:positionV relativeFrom="paragraph">
              <wp:posOffset>-702182</wp:posOffset>
            </wp:positionV>
            <wp:extent cx="1555737" cy="1536690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55737" cy="153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武汉市自然资源和城乡建设局</w:t>
      </w:r>
    </w:p>
    <w:p>
      <w:pPr>
        <w:pStyle w:val="BodyText"/>
        <w:ind w:left="5310"/>
        <w:spacing w:before="85" w:line="222" w:lineRule="auto"/>
        <w:rPr/>
      </w:pPr>
      <w:r>
        <w:rPr>
          <w:spacing w:val="42"/>
        </w:rPr>
        <w:t>2026年6月2日</w:t>
      </w:r>
    </w:p>
    <w:p>
      <w:pPr>
        <w:spacing w:line="222" w:lineRule="auto"/>
        <w:sectPr>
          <w:footerReference w:type="default" r:id="rId7"/>
          <w:pgSz w:w="11580" w:h="16830"/>
          <w:pgMar w:top="1430" w:right="1260" w:bottom="1393" w:left="1209" w:header="0" w:footer="1056" w:gutter="0"/>
        </w:sectPr>
        <w:rPr/>
      </w:pPr>
    </w:p>
    <w:p>
      <w:pPr>
        <w:spacing w:before="196" w:line="224" w:lineRule="auto"/>
        <w:rPr>
          <w:rFonts w:ascii="SimHei" w:hAnsi="SimHei" w:eastAsia="SimHei" w:cs="SimHei"/>
          <w:sz w:val="34"/>
          <w:szCs w:val="34"/>
        </w:rPr>
      </w:pPr>
      <w:r>
        <w:rPr>
          <w:rFonts w:ascii="SimHei" w:hAnsi="SimHei" w:eastAsia="SimHei" w:cs="SimHei"/>
          <w:sz w:val="34"/>
          <w:szCs w:val="34"/>
          <w:spacing w:val="3"/>
        </w:rPr>
        <w:t>附件1</w:t>
      </w:r>
    </w:p>
    <w:p>
      <w:pPr>
        <w:spacing w:line="433" w:lineRule="auto"/>
        <w:rPr>
          <w:rFonts w:ascii="Arial"/>
          <w:sz w:val="21"/>
        </w:rPr>
      </w:pPr>
      <w:r/>
    </w:p>
    <w:p>
      <w:pPr>
        <w:ind w:left="1190"/>
        <w:spacing w:before="156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spacing w:val="-56"/>
        </w:rPr>
        <w:t>2026</w:t>
      </w:r>
      <w:r>
        <w:rPr>
          <w:rFonts w:ascii="SimSun" w:hAnsi="SimSun" w:eastAsia="SimSun" w:cs="SimSun"/>
          <w:sz w:val="48"/>
          <w:szCs w:val="48"/>
          <w:b/>
          <w:bCs/>
          <w:spacing w:val="-56"/>
        </w:rPr>
        <w:t>年“安全生产月”活动联络员表</w:t>
      </w:r>
    </w:p>
    <w:p>
      <w:pPr>
        <w:spacing w:before="30"/>
        <w:rPr/>
      </w:pPr>
      <w:r/>
    </w:p>
    <w:p>
      <w:pPr>
        <w:spacing w:before="29"/>
        <w:rPr/>
      </w:pPr>
      <w:r/>
    </w:p>
    <w:tbl>
      <w:tblPr>
        <w:tblStyle w:val="TableNormal"/>
        <w:tblW w:w="8449" w:type="dxa"/>
        <w:tblInd w:w="31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832"/>
        <w:gridCol w:w="1838"/>
        <w:gridCol w:w="1768"/>
        <w:gridCol w:w="3011"/>
      </w:tblGrid>
      <w:tr>
        <w:trPr>
          <w:trHeight w:val="883" w:hRule="atLeast"/>
        </w:trPr>
        <w:tc>
          <w:tcPr>
            <w:tcW w:w="1832" w:type="dxa"/>
            <w:vAlign w:val="top"/>
          </w:tcPr>
          <w:p>
            <w:pPr>
              <w:ind w:left="345"/>
              <w:spacing w:before="307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3"/>
              </w:rPr>
              <w:t>单位名称</w:t>
            </w:r>
          </w:p>
        </w:tc>
        <w:tc>
          <w:tcPr>
            <w:tcW w:w="661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48" w:hRule="atLeast"/>
        </w:trPr>
        <w:tc>
          <w:tcPr>
            <w:tcW w:w="1832" w:type="dxa"/>
            <w:vAlign w:val="top"/>
          </w:tcPr>
          <w:p>
            <w:pPr>
              <w:ind w:left="345"/>
              <w:spacing w:before="293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电子邮件</w:t>
            </w:r>
          </w:p>
        </w:tc>
        <w:tc>
          <w:tcPr>
            <w:tcW w:w="661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58" w:hRule="atLeast"/>
        </w:trPr>
        <w:tc>
          <w:tcPr>
            <w:tcW w:w="1832" w:type="dxa"/>
            <w:vAlign w:val="top"/>
            <w:vMerge w:val="restart"/>
            <w:tcBorders>
              <w:bottom w:val="nil"/>
            </w:tcBorders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ind w:left="204"/>
              <w:spacing w:before="91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7"/>
              </w:rPr>
              <w:t>活动联络员</w:t>
            </w:r>
          </w:p>
        </w:tc>
        <w:tc>
          <w:tcPr>
            <w:tcW w:w="183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68" w:type="dxa"/>
            <w:vAlign w:val="top"/>
          </w:tcPr>
          <w:p>
            <w:pPr>
              <w:ind w:left="174"/>
              <w:spacing w:before="295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部门及职务</w:t>
            </w:r>
          </w:p>
        </w:tc>
        <w:tc>
          <w:tcPr>
            <w:tcW w:w="30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68" w:hRule="atLeast"/>
        </w:trPr>
        <w:tc>
          <w:tcPr>
            <w:tcW w:w="183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68" w:type="dxa"/>
            <w:vAlign w:val="top"/>
          </w:tcPr>
          <w:p>
            <w:pPr>
              <w:ind w:left="314"/>
              <w:spacing w:before="307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办公电话</w:t>
            </w:r>
          </w:p>
        </w:tc>
        <w:tc>
          <w:tcPr>
            <w:tcW w:w="30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53" w:hRule="atLeast"/>
        </w:trPr>
        <w:tc>
          <w:tcPr>
            <w:tcW w:w="183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3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68" w:type="dxa"/>
            <w:vAlign w:val="top"/>
          </w:tcPr>
          <w:p>
            <w:pPr>
              <w:ind w:left="384"/>
              <w:spacing w:before="297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6"/>
              </w:rPr>
              <w:t>手</w:t>
            </w:r>
            <w:r>
              <w:rPr>
                <w:rFonts w:ascii="SimSun" w:hAnsi="SimSun" w:eastAsia="SimSun" w:cs="SimSun"/>
                <w:sz w:val="28"/>
                <w:szCs w:val="28"/>
                <w:spacing w:val="3"/>
              </w:rPr>
              <w:t xml:space="preserve">   </w:t>
            </w:r>
            <w:r>
              <w:rPr>
                <w:rFonts w:ascii="SimSun" w:hAnsi="SimSun" w:eastAsia="SimSun" w:cs="SimSun"/>
                <w:sz w:val="28"/>
                <w:szCs w:val="28"/>
                <w:spacing w:val="-6"/>
              </w:rPr>
              <w:t>机</w:t>
            </w:r>
          </w:p>
        </w:tc>
        <w:tc>
          <w:tcPr>
            <w:tcW w:w="30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640" w:h="16850"/>
          <w:pgMar w:top="1432" w:right="1465" w:bottom="1406" w:left="1409" w:header="0" w:footer="1094" w:gutter="0"/>
        </w:sectPr>
        <w:rPr>
          <w:rFonts w:ascii="Arial" w:hAnsi="Arial" w:eastAsia="Arial" w:cs="Arial"/>
          <w:sz w:val="21"/>
          <w:szCs w:val="21"/>
        </w:rPr>
      </w:pPr>
    </w:p>
    <w:p>
      <w:pPr>
        <w:ind w:left="5"/>
        <w:spacing w:before="246" w:line="224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12"/>
        </w:rPr>
        <w:t>附件2</w:t>
      </w:r>
    </w:p>
    <w:p>
      <w:pPr>
        <w:spacing w:line="369" w:lineRule="auto"/>
        <w:rPr>
          <w:rFonts w:ascii="Arial"/>
          <w:sz w:val="21"/>
        </w:rPr>
      </w:pPr>
      <w:r/>
    </w:p>
    <w:p>
      <w:pPr>
        <w:ind w:left="855"/>
        <w:spacing w:before="156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spacing w:val="-55"/>
        </w:rPr>
        <w:t>2026</w:t>
      </w:r>
      <w:r>
        <w:rPr>
          <w:rFonts w:ascii="SimSun" w:hAnsi="SimSun" w:eastAsia="SimSun" w:cs="SimSun"/>
          <w:sz w:val="48"/>
          <w:szCs w:val="48"/>
          <w:b/>
          <w:bCs/>
          <w:spacing w:val="-55"/>
        </w:rPr>
        <w:t>年“安全生产月”重点活动安排表</w:t>
      </w:r>
    </w:p>
    <w:p>
      <w:pPr>
        <w:spacing w:before="75"/>
        <w:rPr/>
      </w:pPr>
      <w:r/>
    </w:p>
    <w:p>
      <w:pPr>
        <w:spacing w:before="74"/>
        <w:rPr/>
      </w:pPr>
      <w:r/>
    </w:p>
    <w:tbl>
      <w:tblPr>
        <w:tblStyle w:val="TableNormal"/>
        <w:tblW w:w="898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803"/>
        <w:gridCol w:w="1788"/>
        <w:gridCol w:w="1797"/>
        <w:gridCol w:w="1788"/>
        <w:gridCol w:w="1813"/>
      </w:tblGrid>
      <w:tr>
        <w:trPr>
          <w:trHeight w:val="863" w:hRule="atLeast"/>
        </w:trPr>
        <w:tc>
          <w:tcPr>
            <w:tcW w:w="1803" w:type="dxa"/>
            <w:vAlign w:val="top"/>
          </w:tcPr>
          <w:p>
            <w:pPr>
              <w:ind w:left="368"/>
              <w:spacing w:before="303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活动单位</w:t>
            </w:r>
          </w:p>
        </w:tc>
        <w:tc>
          <w:tcPr>
            <w:tcW w:w="1788" w:type="dxa"/>
            <w:vAlign w:val="top"/>
          </w:tcPr>
          <w:p>
            <w:pPr>
              <w:ind w:left="375"/>
              <w:spacing w:before="303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2"/>
              </w:rPr>
              <w:t>活动名称</w:t>
            </w:r>
          </w:p>
        </w:tc>
        <w:tc>
          <w:tcPr>
            <w:tcW w:w="1797" w:type="dxa"/>
            <w:vAlign w:val="top"/>
          </w:tcPr>
          <w:p>
            <w:pPr>
              <w:ind w:left="486" w:right="343" w:hanging="129"/>
              <w:spacing w:before="132" w:line="217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2"/>
              </w:rPr>
              <w:t>活动内容</w:t>
            </w: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及形式</w:t>
            </w:r>
          </w:p>
        </w:tc>
        <w:tc>
          <w:tcPr>
            <w:tcW w:w="1788" w:type="dxa"/>
            <w:vAlign w:val="top"/>
          </w:tcPr>
          <w:p>
            <w:pPr>
              <w:ind w:left="370"/>
              <w:spacing w:before="303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1"/>
              </w:rPr>
              <w:t>预计时间</w:t>
            </w:r>
          </w:p>
        </w:tc>
        <w:tc>
          <w:tcPr>
            <w:tcW w:w="1813" w:type="dxa"/>
            <w:vAlign w:val="top"/>
          </w:tcPr>
          <w:p>
            <w:pPr>
              <w:ind w:left="232" w:right="229"/>
              <w:spacing w:before="143" w:line="222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6"/>
              </w:rPr>
              <w:t>活动联络人</w:t>
            </w:r>
            <w:r>
              <w:rPr>
                <w:rFonts w:ascii="SimSun" w:hAnsi="SimSun" w:eastAsia="SimSun" w:cs="SimSun"/>
                <w:sz w:val="27"/>
                <w:szCs w:val="27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b/>
                <w:bCs/>
                <w:spacing w:val="-5"/>
              </w:rPr>
              <w:t>及联系方式</w:t>
            </w:r>
          </w:p>
        </w:tc>
      </w:tr>
      <w:tr>
        <w:trPr>
          <w:trHeight w:val="568" w:hRule="atLeast"/>
        </w:trPr>
        <w:tc>
          <w:tcPr>
            <w:tcW w:w="180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8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8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1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68" w:hRule="atLeast"/>
        </w:trPr>
        <w:tc>
          <w:tcPr>
            <w:tcW w:w="180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8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8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1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68" w:hRule="atLeast"/>
        </w:trPr>
        <w:tc>
          <w:tcPr>
            <w:tcW w:w="180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8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8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1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8" w:hRule="atLeast"/>
        </w:trPr>
        <w:tc>
          <w:tcPr>
            <w:tcW w:w="180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8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8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1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54" w:hRule="atLeast"/>
        </w:trPr>
        <w:tc>
          <w:tcPr>
            <w:tcW w:w="180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8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9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8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13" w:type="dxa"/>
            <w:vAlign w:val="top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560" w:h="16830"/>
          <w:pgMar w:top="1430" w:right="1335" w:bottom="1409" w:left="1224" w:header="0" w:footer="103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35" w:lineRule="auto"/>
        <w:rPr>
          <w:rFonts w:ascii="Arial"/>
          <w:sz w:val="21"/>
        </w:rPr>
      </w:pPr>
      <w:r/>
    </w:p>
    <w:p>
      <w:pPr>
        <w:spacing w:line="335" w:lineRule="auto"/>
        <w:rPr>
          <w:rFonts w:ascii="Arial"/>
          <w:sz w:val="21"/>
        </w:rPr>
      </w:pPr>
      <w:r/>
    </w:p>
    <w:p>
      <w:pPr>
        <w:ind w:left="1803"/>
        <w:spacing w:before="91" w:line="224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24"/>
        </w:rPr>
        <w:t>附件3</w:t>
      </w:r>
    </w:p>
    <w:p>
      <w:pPr>
        <w:ind w:left="3919"/>
        <w:spacing w:before="63" w:line="219" w:lineRule="auto"/>
        <w:rPr>
          <w:rFonts w:ascii="SimSun" w:hAnsi="SimSun" w:eastAsia="SimSun" w:cs="SimSun"/>
          <w:sz w:val="39"/>
          <w:szCs w:val="39"/>
        </w:rPr>
      </w:pPr>
      <w:r>
        <w:rPr>
          <w:rFonts w:ascii="SimSun" w:hAnsi="SimSun" w:eastAsia="SimSun" w:cs="SimSun"/>
          <w:sz w:val="39"/>
          <w:szCs w:val="39"/>
          <w:b/>
          <w:bCs/>
          <w:spacing w:val="4"/>
        </w:rPr>
        <w:t>2026年市级安全生产月推荐观摩项目清单</w:t>
      </w:r>
    </w:p>
    <w:p>
      <w:pPr>
        <w:spacing w:before="82"/>
        <w:rPr/>
      </w:pPr>
      <w:r/>
    </w:p>
    <w:tbl>
      <w:tblPr>
        <w:tblStyle w:val="TableNormal"/>
        <w:tblW w:w="12889" w:type="dxa"/>
        <w:tblInd w:w="1063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54"/>
        <w:gridCol w:w="1029"/>
        <w:gridCol w:w="4926"/>
        <w:gridCol w:w="6080"/>
      </w:tblGrid>
      <w:tr>
        <w:trPr>
          <w:trHeight w:val="494" w:hRule="atLeast"/>
        </w:trPr>
        <w:tc>
          <w:tcPr>
            <w:tcW w:w="854" w:type="dxa"/>
            <w:vAlign w:val="top"/>
          </w:tcPr>
          <w:p>
            <w:pPr>
              <w:ind w:left="194"/>
              <w:spacing w:before="145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序号</w:t>
            </w:r>
          </w:p>
        </w:tc>
        <w:tc>
          <w:tcPr>
            <w:tcW w:w="1029" w:type="dxa"/>
            <w:vAlign w:val="top"/>
          </w:tcPr>
          <w:p>
            <w:pPr>
              <w:ind w:left="170"/>
              <w:spacing w:before="144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行政区</w:t>
            </w:r>
          </w:p>
        </w:tc>
        <w:tc>
          <w:tcPr>
            <w:tcW w:w="4926" w:type="dxa"/>
            <w:vAlign w:val="top"/>
          </w:tcPr>
          <w:p>
            <w:pPr>
              <w:ind w:left="1792"/>
              <w:spacing w:before="14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推荐项目名称</w:t>
            </w:r>
          </w:p>
        </w:tc>
        <w:tc>
          <w:tcPr>
            <w:tcW w:w="6080" w:type="dxa"/>
            <w:vAlign w:val="top"/>
          </w:tcPr>
          <w:p>
            <w:pPr>
              <w:ind w:left="2609"/>
              <w:spacing w:before="142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-5"/>
              </w:rPr>
              <w:t>参建主体</w:t>
            </w:r>
          </w:p>
        </w:tc>
      </w:tr>
      <w:tr>
        <w:trPr>
          <w:trHeight w:val="898" w:hRule="atLeast"/>
        </w:trPr>
        <w:tc>
          <w:tcPr>
            <w:tcW w:w="854" w:type="dxa"/>
            <w:vAlign w:val="top"/>
          </w:tcPr>
          <w:p>
            <w:pPr>
              <w:pStyle w:val="TableText"/>
              <w:spacing w:line="288" w:lineRule="auto"/>
              <w:rPr/>
            </w:pPr>
            <w:r/>
          </w:p>
          <w:p>
            <w:pPr>
              <w:ind w:left="364"/>
              <w:spacing w:before="72" w:line="24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1</w:t>
            </w:r>
          </w:p>
        </w:tc>
        <w:tc>
          <w:tcPr>
            <w:tcW w:w="1029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170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江岸区</w:t>
            </w:r>
          </w:p>
        </w:tc>
        <w:tc>
          <w:tcPr>
            <w:tcW w:w="4926" w:type="dxa"/>
            <w:vAlign w:val="top"/>
          </w:tcPr>
          <w:p>
            <w:pPr>
              <w:ind w:left="201"/>
              <w:spacing w:before="229" w:line="21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新建居住、商业、商务项目(P(2022)123号地块</w:t>
            </w:r>
          </w:p>
          <w:p>
            <w:pPr>
              <w:ind w:left="1962"/>
              <w:spacing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>建设项目)</w:t>
            </w:r>
          </w:p>
        </w:tc>
        <w:tc>
          <w:tcPr>
            <w:tcW w:w="6080" w:type="dxa"/>
            <w:vAlign w:val="top"/>
          </w:tcPr>
          <w:p>
            <w:pPr>
              <w:ind w:left="105"/>
              <w:spacing w:before="80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建设单位：武汉地铁迅运置业有限公司</w:t>
            </w:r>
          </w:p>
          <w:p>
            <w:pPr>
              <w:ind w:left="105"/>
              <w:spacing w:before="17" w:line="19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施工单位：武汉博宏建设集团有限公司</w:t>
            </w:r>
          </w:p>
          <w:p>
            <w:pPr>
              <w:ind w:left="105"/>
              <w:spacing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监理单位：中煤科工集团武汉设计研究院有限公司</w:t>
            </w:r>
          </w:p>
        </w:tc>
      </w:tr>
      <w:tr>
        <w:trPr>
          <w:trHeight w:val="1308" w:hRule="atLeast"/>
        </w:trPr>
        <w:tc>
          <w:tcPr>
            <w:tcW w:w="854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364"/>
              <w:spacing w:before="71" w:line="24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2</w:t>
            </w:r>
          </w:p>
        </w:tc>
        <w:tc>
          <w:tcPr>
            <w:tcW w:w="1029" w:type="dxa"/>
            <w:vAlign w:val="top"/>
          </w:tcPr>
          <w:p>
            <w:pPr>
              <w:pStyle w:val="TableText"/>
              <w:spacing w:line="478" w:lineRule="auto"/>
              <w:rPr/>
            </w:pPr>
            <w:r/>
          </w:p>
          <w:p>
            <w:pPr>
              <w:ind w:left="170"/>
              <w:spacing w:before="7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江岸区</w:t>
            </w:r>
          </w:p>
        </w:tc>
        <w:tc>
          <w:tcPr>
            <w:tcW w:w="4926" w:type="dxa"/>
            <w:vAlign w:val="top"/>
          </w:tcPr>
          <w:p>
            <w:pPr>
              <w:pStyle w:val="TableText"/>
              <w:spacing w:line="477" w:lineRule="auto"/>
              <w:rPr/>
            </w:pPr>
            <w:r/>
          </w:p>
          <w:p>
            <w:pPr>
              <w:ind w:right="1"/>
              <w:spacing w:before="72" w:line="219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新建居住、商业、商务、排水复合办公、小</w:t>
            </w: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学项目</w:t>
            </w:r>
          </w:p>
        </w:tc>
        <w:tc>
          <w:tcPr>
            <w:tcW w:w="6080" w:type="dxa"/>
            <w:vAlign w:val="top"/>
          </w:tcPr>
          <w:p>
            <w:pPr>
              <w:ind w:left="105"/>
              <w:spacing w:before="1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建设单位：武汉和纵顺业地产有限责任公司</w:t>
            </w:r>
          </w:p>
          <w:p>
            <w:pPr>
              <w:ind w:left="105" w:right="31"/>
              <w:spacing w:before="18" w:line="22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施工单位：武汉市市政建设集团有限公司、武汉市政环境工程</w:t>
            </w:r>
            <w:r>
              <w:rPr>
                <w:rFonts w:ascii="SimSun" w:hAnsi="SimSun" w:eastAsia="SimSun" w:cs="SimSun"/>
                <w:sz w:val="22"/>
                <w:szCs w:val="22"/>
                <w:spacing w:val="18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建设有限公司、武汉市市政建设集团建筑科技有限公司</w:t>
            </w:r>
          </w:p>
          <w:p>
            <w:pPr>
              <w:ind w:left="105" w:right="232"/>
              <w:spacing w:before="1" w:line="19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监理单位：南方咨询(湖北)有限公司、长江工程监理咨询有</w:t>
            </w:r>
            <w:r>
              <w:rPr>
                <w:rFonts w:ascii="SimSun" w:hAnsi="SimSun" w:eastAsia="SimSun" w:cs="SimSun"/>
                <w:sz w:val="22"/>
                <w:szCs w:val="22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限公司(湖北)</w:t>
            </w:r>
          </w:p>
        </w:tc>
      </w:tr>
      <w:tr>
        <w:trPr>
          <w:trHeight w:val="899" w:hRule="atLeast"/>
        </w:trPr>
        <w:tc>
          <w:tcPr>
            <w:tcW w:w="854" w:type="dxa"/>
            <w:vAlign w:val="top"/>
          </w:tcPr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364"/>
              <w:spacing w:before="71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3</w:t>
            </w:r>
          </w:p>
        </w:tc>
        <w:tc>
          <w:tcPr>
            <w:tcW w:w="1029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170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江岸区</w:t>
            </w:r>
          </w:p>
        </w:tc>
        <w:tc>
          <w:tcPr>
            <w:tcW w:w="4926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51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新建居住项目(江岸区劳动新村一、三期地块)</w:t>
            </w:r>
          </w:p>
        </w:tc>
        <w:tc>
          <w:tcPr>
            <w:tcW w:w="6080" w:type="dxa"/>
            <w:vAlign w:val="top"/>
          </w:tcPr>
          <w:p>
            <w:pPr>
              <w:ind w:left="105"/>
              <w:spacing w:before="94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建设单位：武汉迅望置业有限公司</w:t>
            </w:r>
          </w:p>
          <w:p>
            <w:pPr>
              <w:ind w:left="105"/>
              <w:spacing w:before="6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施工单位：浙江东源建设有限公司</w:t>
            </w:r>
          </w:p>
          <w:p>
            <w:pPr>
              <w:ind w:left="105"/>
              <w:spacing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监理单位：湖北建丰工程监理有限公司</w:t>
            </w:r>
          </w:p>
        </w:tc>
      </w:tr>
      <w:tr>
        <w:trPr>
          <w:trHeight w:val="829" w:hRule="atLeast"/>
        </w:trPr>
        <w:tc>
          <w:tcPr>
            <w:tcW w:w="854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364"/>
              <w:spacing w:before="72" w:line="24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4</w:t>
            </w:r>
          </w:p>
        </w:tc>
        <w:tc>
          <w:tcPr>
            <w:tcW w:w="1029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170"/>
              <w:spacing w:before="72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江汉区</w:t>
            </w:r>
          </w:p>
        </w:tc>
        <w:tc>
          <w:tcPr>
            <w:tcW w:w="4926" w:type="dxa"/>
            <w:vAlign w:val="top"/>
          </w:tcPr>
          <w:p>
            <w:pPr>
              <w:ind w:left="92"/>
              <w:spacing w:before="185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新建居住、商业、中小学、公园绿地项目(新华西</w:t>
            </w:r>
          </w:p>
          <w:p>
            <w:pPr>
              <w:ind w:left="1131"/>
              <w:spacing w:before="7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路四期A、B、C地块)(一期)</w:t>
            </w:r>
          </w:p>
        </w:tc>
        <w:tc>
          <w:tcPr>
            <w:tcW w:w="6080" w:type="dxa"/>
            <w:vAlign w:val="top"/>
          </w:tcPr>
          <w:p>
            <w:pPr>
              <w:ind w:left="105"/>
              <w:spacing w:before="64"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建设单位：武汉市恒晖置业开发有限公司</w:t>
            </w:r>
          </w:p>
          <w:p>
            <w:pPr>
              <w:ind w:left="105"/>
              <w:spacing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施工单位：武汉建工集团股份有限公司</w:t>
            </w:r>
          </w:p>
          <w:p>
            <w:pPr>
              <w:ind w:left="105"/>
              <w:spacing w:line="19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监理单位：中德华建(北京)国际工程技术有限公司</w:t>
            </w:r>
          </w:p>
        </w:tc>
      </w:tr>
      <w:tr>
        <w:trPr>
          <w:trHeight w:val="898" w:hRule="atLeast"/>
        </w:trPr>
        <w:tc>
          <w:tcPr>
            <w:tcW w:w="854" w:type="dxa"/>
            <w:vAlign w:val="top"/>
          </w:tcPr>
          <w:p>
            <w:pPr>
              <w:pStyle w:val="TableText"/>
              <w:spacing w:line="294" w:lineRule="auto"/>
              <w:rPr/>
            </w:pPr>
            <w:r/>
          </w:p>
          <w:p>
            <w:pPr>
              <w:ind w:left="364"/>
              <w:spacing w:before="71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5</w:t>
            </w:r>
          </w:p>
        </w:tc>
        <w:tc>
          <w:tcPr>
            <w:tcW w:w="1029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170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汉阳区</w:t>
            </w:r>
          </w:p>
        </w:tc>
        <w:tc>
          <w:tcPr>
            <w:tcW w:w="4926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1571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武汉戏曲艺术中心</w:t>
            </w:r>
          </w:p>
        </w:tc>
        <w:tc>
          <w:tcPr>
            <w:tcW w:w="6080" w:type="dxa"/>
            <w:vAlign w:val="top"/>
          </w:tcPr>
          <w:p>
            <w:pPr>
              <w:ind w:left="105"/>
              <w:spacing w:before="76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建设单位：武汉戏曲投资有限公司</w:t>
            </w:r>
          </w:p>
          <w:p>
            <w:pPr>
              <w:ind w:left="105"/>
              <w:spacing w:before="17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施工单位：中建三局集团有限公司</w:t>
            </w:r>
          </w:p>
          <w:p>
            <w:pPr>
              <w:ind w:left="105"/>
              <w:spacing w:before="8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监理单位：中冶南方武汉工程咨询管理有限公司</w:t>
            </w:r>
          </w:p>
        </w:tc>
      </w:tr>
      <w:tr>
        <w:trPr>
          <w:trHeight w:val="893" w:hRule="atLeast"/>
        </w:trPr>
        <w:tc>
          <w:tcPr>
            <w:tcW w:w="854" w:type="dxa"/>
            <w:vAlign w:val="top"/>
          </w:tcPr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364"/>
              <w:spacing w:before="71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6</w:t>
            </w:r>
          </w:p>
        </w:tc>
        <w:tc>
          <w:tcPr>
            <w:tcW w:w="1029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170"/>
              <w:spacing w:before="7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汉阳区</w:t>
            </w:r>
          </w:p>
        </w:tc>
        <w:tc>
          <w:tcPr>
            <w:tcW w:w="4926" w:type="dxa"/>
            <w:vAlign w:val="top"/>
          </w:tcPr>
          <w:p>
            <w:pPr>
              <w:ind w:left="92"/>
              <w:spacing w:before="216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新建办公楼及商业展厅项目(湖北交投汽车供应链</w:t>
            </w:r>
          </w:p>
          <w:p>
            <w:pPr>
              <w:ind w:left="2071"/>
              <w:spacing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2"/>
              </w:rPr>
              <w:t>产业园)</w:t>
            </w:r>
          </w:p>
        </w:tc>
        <w:tc>
          <w:tcPr>
            <w:tcW w:w="6080" w:type="dxa"/>
            <w:vAlign w:val="top"/>
          </w:tcPr>
          <w:p>
            <w:pPr>
              <w:ind w:left="105"/>
              <w:spacing w:before="88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建设单位：湖北交投物流集团有限公司</w:t>
            </w:r>
          </w:p>
          <w:p>
            <w:pPr>
              <w:ind w:left="105"/>
              <w:spacing w:before="9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施工单位：中建三局集团有限公司</w:t>
            </w:r>
          </w:p>
          <w:p>
            <w:pPr>
              <w:ind w:left="105"/>
              <w:spacing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监理单位：中晟宏宇工程咨询有限公司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6830" w:h="11640"/>
          <w:pgMar w:top="989" w:right="1785" w:bottom="1560" w:left="1086" w:header="0" w:footer="152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page">
                  <wp:posOffset>517323</wp:posOffset>
                </wp:positionH>
                <wp:positionV relativeFrom="page">
                  <wp:posOffset>1092285</wp:posOffset>
                </wp:positionV>
                <wp:extent cx="535940" cy="269240"/>
                <wp:effectExtent l="0" t="0" r="0" b="0"/>
                <wp:wrapNone/>
                <wp:docPr id="10" name="TextBox 10"/>
                <wp:cNvGraphicFramePr/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 rot="5400000">
                          <a:off x="517323" y="1092285"/>
                          <a:ext cx="535940" cy="26924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91"/>
                              <w:rPr>
                                <w:rFonts w:ascii="SimSun" w:hAnsi="SimSun" w:eastAsia="SimSun" w:cs="SimSu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24"/>
                                <w:szCs w:val="24"/>
                                <w:spacing w:val="24"/>
                              </w:rPr>
                              <w:t>一10一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" style="position:absolute;margin-left:40.7341pt;margin-top:86.0068pt;mso-position-vertical-relative:page;mso-position-horizontal-relative:page;width:42.2pt;height:21.2pt;z-index:251662336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91"/>
                        <w:rPr>
                          <w:rFonts w:ascii="SimSun" w:hAnsi="SimSun" w:eastAsia="SimSun" w:cs="SimSun"/>
                          <w:sz w:val="24"/>
                          <w:szCs w:val="24"/>
                        </w:rPr>
                      </w:pPr>
                      <w:r>
                        <w:rPr>
                          <w:rFonts w:ascii="SimSun" w:hAnsi="SimSun" w:eastAsia="SimSun" w:cs="SimSun"/>
                          <w:sz w:val="24"/>
                          <w:szCs w:val="24"/>
                          <w:spacing w:val="24"/>
                        </w:rPr>
                        <w:t>一10一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39"/>
        <w:rPr/>
      </w:pPr>
      <w:r/>
    </w:p>
    <w:p>
      <w:pPr>
        <w:spacing w:before="39"/>
        <w:rPr/>
      </w:pPr>
      <w:r/>
    </w:p>
    <w:tbl>
      <w:tblPr>
        <w:tblStyle w:val="TableNormal"/>
        <w:tblW w:w="12930" w:type="dxa"/>
        <w:tblInd w:w="813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55"/>
        <w:gridCol w:w="1039"/>
        <w:gridCol w:w="4936"/>
        <w:gridCol w:w="6100"/>
      </w:tblGrid>
      <w:tr>
        <w:trPr>
          <w:trHeight w:val="494" w:hRule="atLeast"/>
        </w:trPr>
        <w:tc>
          <w:tcPr>
            <w:tcW w:w="855" w:type="dxa"/>
            <w:vAlign w:val="top"/>
          </w:tcPr>
          <w:p>
            <w:pPr>
              <w:ind w:left="198"/>
              <w:spacing w:before="142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-5"/>
              </w:rPr>
              <w:t>序号</w:t>
            </w:r>
          </w:p>
        </w:tc>
        <w:tc>
          <w:tcPr>
            <w:tcW w:w="1039" w:type="dxa"/>
            <w:vAlign w:val="top"/>
          </w:tcPr>
          <w:p>
            <w:pPr>
              <w:ind w:left="183"/>
              <w:spacing w:before="14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1"/>
              </w:rPr>
              <w:t>行政区</w:t>
            </w:r>
          </w:p>
        </w:tc>
        <w:tc>
          <w:tcPr>
            <w:tcW w:w="4936" w:type="dxa"/>
            <w:vAlign w:val="top"/>
          </w:tcPr>
          <w:p>
            <w:pPr>
              <w:ind w:left="1804"/>
              <w:spacing w:before="139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-4"/>
              </w:rPr>
              <w:t>推荐项目名称</w:t>
            </w:r>
          </w:p>
        </w:tc>
        <w:tc>
          <w:tcPr>
            <w:tcW w:w="6100" w:type="dxa"/>
            <w:vAlign w:val="top"/>
          </w:tcPr>
          <w:p>
            <w:pPr>
              <w:ind w:left="2628"/>
              <w:spacing w:before="142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-5"/>
              </w:rPr>
              <w:t>参建主体</w:t>
            </w:r>
          </w:p>
        </w:tc>
      </w:tr>
      <w:tr>
        <w:trPr>
          <w:trHeight w:val="909" w:hRule="atLeast"/>
        </w:trPr>
        <w:tc>
          <w:tcPr>
            <w:tcW w:w="855" w:type="dxa"/>
            <w:vAlign w:val="top"/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365"/>
              <w:spacing w:before="71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7</w:t>
            </w:r>
          </w:p>
        </w:tc>
        <w:tc>
          <w:tcPr>
            <w:tcW w:w="1039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179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汉阳区</w:t>
            </w:r>
          </w:p>
        </w:tc>
        <w:tc>
          <w:tcPr>
            <w:tcW w:w="4936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spacing w:before="72" w:line="219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新建居住、小学、公园绿地项目(群建片地块一</w:t>
            </w: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期)</w:t>
            </w:r>
          </w:p>
        </w:tc>
        <w:tc>
          <w:tcPr>
            <w:tcW w:w="6100" w:type="dxa"/>
            <w:vAlign w:val="top"/>
          </w:tcPr>
          <w:p>
            <w:pPr>
              <w:ind w:left="95"/>
              <w:spacing w:before="70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建设单位：湖北臻辰置业有限公司</w:t>
            </w:r>
          </w:p>
          <w:p>
            <w:pPr>
              <w:ind w:left="95"/>
              <w:spacing w:before="36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施工单位：武汉博宏建设集团有限公司</w:t>
            </w:r>
          </w:p>
          <w:p>
            <w:pPr>
              <w:ind w:left="95"/>
              <w:spacing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监理单位：长沙华星建设监理有限公司</w:t>
            </w:r>
          </w:p>
        </w:tc>
      </w:tr>
      <w:tr>
        <w:trPr>
          <w:trHeight w:val="898" w:hRule="atLeast"/>
        </w:trPr>
        <w:tc>
          <w:tcPr>
            <w:tcW w:w="855" w:type="dxa"/>
            <w:vAlign w:val="top"/>
          </w:tcPr>
          <w:p>
            <w:pPr>
              <w:pStyle w:val="TableText"/>
              <w:spacing w:line="289" w:lineRule="auto"/>
              <w:rPr/>
            </w:pPr>
            <w:r/>
          </w:p>
          <w:p>
            <w:pPr>
              <w:ind w:left="365"/>
              <w:spacing w:before="71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8</w:t>
            </w:r>
          </w:p>
        </w:tc>
        <w:tc>
          <w:tcPr>
            <w:tcW w:w="1039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179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汉阳区</w:t>
            </w:r>
          </w:p>
        </w:tc>
        <w:tc>
          <w:tcPr>
            <w:tcW w:w="4936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481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新建居住、通讯设施项目(高森地块一期)</w:t>
            </w:r>
          </w:p>
        </w:tc>
        <w:tc>
          <w:tcPr>
            <w:tcW w:w="6100" w:type="dxa"/>
            <w:vAlign w:val="top"/>
          </w:tcPr>
          <w:p>
            <w:pPr>
              <w:ind w:left="95"/>
              <w:spacing w:before="9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建设单位：湖北天创瑞昇置业有限公司</w:t>
            </w:r>
          </w:p>
          <w:p>
            <w:pPr>
              <w:ind w:left="95"/>
              <w:spacing w:before="8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施工单位：武汉博宏建设集团有限公司</w:t>
            </w:r>
          </w:p>
          <w:p>
            <w:pPr>
              <w:ind w:left="95"/>
              <w:spacing w:before="8" w:line="21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监理单位：武汉承远设计咨询集团有限公司</w:t>
            </w:r>
          </w:p>
        </w:tc>
      </w:tr>
      <w:tr>
        <w:trPr>
          <w:trHeight w:val="889" w:hRule="atLeast"/>
        </w:trPr>
        <w:tc>
          <w:tcPr>
            <w:tcW w:w="855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365"/>
              <w:spacing w:before="71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9</w:t>
            </w:r>
          </w:p>
        </w:tc>
        <w:tc>
          <w:tcPr>
            <w:tcW w:w="1039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179"/>
              <w:spacing w:before="71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武昌区</w:t>
            </w:r>
          </w:p>
        </w:tc>
        <w:tc>
          <w:tcPr>
            <w:tcW w:w="4936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371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新建商业、商务项目(武汉长江中心C1地块)</w:t>
            </w:r>
          </w:p>
        </w:tc>
        <w:tc>
          <w:tcPr>
            <w:tcW w:w="6100" w:type="dxa"/>
            <w:vAlign w:val="top"/>
          </w:tcPr>
          <w:p>
            <w:pPr>
              <w:ind w:left="95"/>
              <w:spacing w:before="92"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建设单位：御江坤(武汉)房地产开发有限公司</w:t>
            </w:r>
          </w:p>
          <w:p>
            <w:pPr>
              <w:ind w:left="95"/>
              <w:spacing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施工单位：中建五局第三建设有限公司</w:t>
            </w:r>
          </w:p>
          <w:p>
            <w:pPr>
              <w:ind w:left="95"/>
              <w:spacing w:before="8" w:line="21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监理单位：北京远达国际工程管理咨询有限公司</w:t>
            </w:r>
          </w:p>
        </w:tc>
      </w:tr>
      <w:tr>
        <w:trPr>
          <w:trHeight w:val="889" w:hRule="atLeast"/>
        </w:trPr>
        <w:tc>
          <w:tcPr>
            <w:tcW w:w="855" w:type="dxa"/>
            <w:vAlign w:val="top"/>
          </w:tcPr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305"/>
              <w:spacing w:before="71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color w:val="201040"/>
                <w:spacing w:val="-7"/>
              </w:rPr>
              <w:t>10</w:t>
            </w:r>
          </w:p>
        </w:tc>
        <w:tc>
          <w:tcPr>
            <w:tcW w:w="1039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179"/>
              <w:spacing w:before="71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武昌区</w:t>
            </w:r>
          </w:p>
        </w:tc>
        <w:tc>
          <w:tcPr>
            <w:tcW w:w="4936" w:type="dxa"/>
            <w:vAlign w:val="top"/>
          </w:tcPr>
          <w:p>
            <w:pPr>
              <w:ind w:left="90"/>
              <w:spacing w:before="224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新建居住、商业、交通框纽、防护绿地项目(积玉</w:t>
            </w:r>
          </w:p>
          <w:p>
            <w:pPr>
              <w:ind w:left="1960"/>
              <w:spacing w:before="9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>桥站地块)</w:t>
            </w:r>
          </w:p>
        </w:tc>
        <w:tc>
          <w:tcPr>
            <w:tcW w:w="6100" w:type="dxa"/>
            <w:vAlign w:val="top"/>
          </w:tcPr>
          <w:p>
            <w:pPr>
              <w:ind w:left="95"/>
              <w:spacing w:before="94" w:line="20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建设单位：武汉迅行置业有限公司</w:t>
            </w:r>
          </w:p>
          <w:p>
            <w:pPr>
              <w:ind w:left="105"/>
              <w:spacing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施工单位：中天建设集团有限公司</w:t>
            </w:r>
          </w:p>
          <w:p>
            <w:pPr>
              <w:ind w:left="95"/>
              <w:spacing w:before="19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监理单位：湖北建丰工程监理有限公司</w:t>
            </w:r>
          </w:p>
        </w:tc>
      </w:tr>
      <w:tr>
        <w:trPr>
          <w:trHeight w:val="1048" w:hRule="atLeast"/>
        </w:trPr>
        <w:tc>
          <w:tcPr>
            <w:tcW w:w="855" w:type="dxa"/>
            <w:vAlign w:val="top"/>
          </w:tcPr>
          <w:p>
            <w:pPr>
              <w:pStyle w:val="TableText"/>
              <w:spacing w:line="373" w:lineRule="auto"/>
              <w:rPr/>
            </w:pPr>
            <w:r/>
          </w:p>
          <w:p>
            <w:pPr>
              <w:ind w:left="305"/>
              <w:spacing w:before="71" w:line="24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color w:val="101040"/>
                <w:spacing w:val="-7"/>
              </w:rPr>
              <w:t>11</w:t>
            </w:r>
          </w:p>
        </w:tc>
        <w:tc>
          <w:tcPr>
            <w:tcW w:w="1039" w:type="dxa"/>
            <w:vAlign w:val="top"/>
          </w:tcPr>
          <w:p>
            <w:pPr>
              <w:pStyle w:val="TableText"/>
              <w:spacing w:line="350" w:lineRule="auto"/>
              <w:rPr/>
            </w:pPr>
            <w:r/>
          </w:p>
          <w:p>
            <w:pPr>
              <w:ind w:left="179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青山区</w:t>
            </w:r>
          </w:p>
        </w:tc>
        <w:tc>
          <w:tcPr>
            <w:tcW w:w="4936" w:type="dxa"/>
            <w:vAlign w:val="top"/>
          </w:tcPr>
          <w:p>
            <w:pPr>
              <w:pStyle w:val="TableText"/>
              <w:spacing w:line="352" w:lineRule="auto"/>
              <w:rPr/>
            </w:pPr>
            <w:r/>
          </w:p>
          <w:p>
            <w:pPr>
              <w:ind w:left="751"/>
              <w:spacing w:before="7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新建居住、公园绿地(铁四院D地块)</w:t>
            </w:r>
          </w:p>
        </w:tc>
        <w:tc>
          <w:tcPr>
            <w:tcW w:w="6100" w:type="dxa"/>
            <w:vAlign w:val="top"/>
          </w:tcPr>
          <w:p>
            <w:pPr>
              <w:ind w:left="95"/>
              <w:spacing w:before="35" w:line="20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建设单位：武汉城铁杨园房地产开发有限责任公司</w:t>
            </w:r>
          </w:p>
          <w:p>
            <w:pPr>
              <w:ind w:left="95" w:right="52" w:firstLine="9"/>
              <w:spacing w:before="1" w:line="22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施工单位：武汉建工集团股份有限公司、武汉誉城九方建筑有</w:t>
            </w:r>
            <w:r>
              <w:rPr>
                <w:rFonts w:ascii="SimSun" w:hAnsi="SimSun" w:eastAsia="SimSun" w:cs="SimSun"/>
                <w:sz w:val="22"/>
                <w:szCs w:val="22"/>
                <w:spacing w:val="18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0"/>
              </w:rPr>
              <w:t>限公司</w:t>
            </w:r>
          </w:p>
          <w:p>
            <w:pPr>
              <w:ind w:left="95"/>
              <w:spacing w:line="18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监理单位：武汉飞虹工程管理咨询有限公司</w:t>
            </w:r>
          </w:p>
        </w:tc>
      </w:tr>
      <w:tr>
        <w:trPr>
          <w:trHeight w:val="899" w:hRule="atLeast"/>
        </w:trPr>
        <w:tc>
          <w:tcPr>
            <w:tcW w:w="855" w:type="dxa"/>
            <w:vAlign w:val="top"/>
          </w:tcPr>
          <w:p>
            <w:pPr>
              <w:pStyle w:val="TableText"/>
              <w:spacing w:line="295" w:lineRule="auto"/>
              <w:rPr/>
            </w:pPr>
            <w:r/>
          </w:p>
          <w:p>
            <w:pPr>
              <w:ind w:left="305"/>
              <w:spacing w:before="72" w:line="24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12</w:t>
            </w:r>
          </w:p>
        </w:tc>
        <w:tc>
          <w:tcPr>
            <w:tcW w:w="1039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179"/>
              <w:spacing w:before="71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洪山区</w:t>
            </w:r>
          </w:p>
        </w:tc>
        <w:tc>
          <w:tcPr>
            <w:tcW w:w="4936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1031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华中师范大学南湖训练馆项目</w:t>
            </w:r>
          </w:p>
        </w:tc>
        <w:tc>
          <w:tcPr>
            <w:tcW w:w="6100" w:type="dxa"/>
            <w:vAlign w:val="top"/>
          </w:tcPr>
          <w:p>
            <w:pPr>
              <w:ind w:left="95"/>
              <w:spacing w:before="96" w:line="21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建设单位：华中师范大学</w:t>
            </w:r>
          </w:p>
          <w:p>
            <w:pPr>
              <w:ind w:left="105"/>
              <w:spacing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施工单位：中建三局集团有限公司</w:t>
            </w:r>
          </w:p>
          <w:p>
            <w:pPr>
              <w:ind w:left="95"/>
              <w:spacing w:before="28" w:line="21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监理单位：中晟宏宇工程咨询有限公司</w:t>
            </w:r>
          </w:p>
        </w:tc>
      </w:tr>
      <w:tr>
        <w:trPr>
          <w:trHeight w:val="893" w:hRule="atLeast"/>
        </w:trPr>
        <w:tc>
          <w:tcPr>
            <w:tcW w:w="855" w:type="dxa"/>
            <w:vAlign w:val="top"/>
          </w:tcPr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305"/>
              <w:spacing w:before="71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13</w:t>
            </w:r>
          </w:p>
        </w:tc>
        <w:tc>
          <w:tcPr>
            <w:tcW w:w="1039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179"/>
              <w:spacing w:before="71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洪山区</w:t>
            </w:r>
          </w:p>
        </w:tc>
        <w:tc>
          <w:tcPr>
            <w:tcW w:w="4936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261"/>
              <w:spacing w:before="7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武汉理工大学南湖校区东南侧学生宿舍(二期)</w:t>
            </w:r>
          </w:p>
        </w:tc>
        <w:tc>
          <w:tcPr>
            <w:tcW w:w="6100" w:type="dxa"/>
            <w:vAlign w:val="top"/>
          </w:tcPr>
          <w:p>
            <w:pPr>
              <w:ind w:left="95"/>
              <w:spacing w:before="98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建设单位：武汉理工大学</w:t>
            </w:r>
          </w:p>
          <w:p>
            <w:pPr>
              <w:ind w:left="95"/>
              <w:spacing w:before="26" w:line="21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施工单位：中建三局集团有限公司</w:t>
            </w:r>
          </w:p>
          <w:p>
            <w:pPr>
              <w:ind w:left="95"/>
              <w:spacing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监理单位：武汉鸿诚工程咨询管理有限责任公司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6850" w:h="11550"/>
          <w:pgMar w:top="981" w:right="1984" w:bottom="400" w:left="1116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page">
                  <wp:posOffset>533379</wp:posOffset>
                </wp:positionH>
                <wp:positionV relativeFrom="page">
                  <wp:posOffset>6008961</wp:posOffset>
                </wp:positionV>
                <wp:extent cx="478155" cy="271145"/>
                <wp:effectExtent l="0" t="0" r="0" b="0"/>
                <wp:wrapNone/>
                <wp:docPr id="12" name="TextBox 12"/>
                <wp:cNvGraphicFramePr/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 rot="5400000">
                          <a:off x="533379" y="6008961"/>
                          <a:ext cx="478155" cy="27114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93" w:line="241" w:lineRule="auto"/>
                              <w:rPr>
                                <w:rFonts w:ascii="SimSun" w:hAnsi="SimSun" w:eastAsia="SimSun" w:cs="SimSu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24"/>
                                <w:szCs w:val="24"/>
                                <w:spacing w:val="-9"/>
                              </w:rPr>
                              <w:t>—</w:t>
                            </w:r>
                            <w:r>
                              <w:rPr>
                                <w:rFonts w:ascii="SimSun" w:hAnsi="SimSun" w:eastAsia="SimSun" w:cs="SimSun"/>
                                <w:sz w:val="24"/>
                                <w:szCs w:val="24"/>
                                <w:spacing w:val="-93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24"/>
                                <w:szCs w:val="24"/>
                                <w:spacing w:val="-9"/>
                              </w:rPr>
                              <w:t>11—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" style="position:absolute;margin-left:41.9984pt;margin-top:473.147pt;mso-position-vertical-relative:page;mso-position-horizontal-relative:page;width:37.65pt;height:21.35pt;z-index:251663360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93" w:line="241" w:lineRule="auto"/>
                        <w:rPr>
                          <w:rFonts w:ascii="SimSun" w:hAnsi="SimSun" w:eastAsia="SimSun" w:cs="SimSun"/>
                          <w:sz w:val="24"/>
                          <w:szCs w:val="24"/>
                        </w:rPr>
                      </w:pPr>
                      <w:r>
                        <w:rPr>
                          <w:rFonts w:ascii="SimSun" w:hAnsi="SimSun" w:eastAsia="SimSun" w:cs="SimSun"/>
                          <w:sz w:val="24"/>
                          <w:szCs w:val="24"/>
                          <w:spacing w:val="-9"/>
                        </w:rPr>
                        <w:t>—</w:t>
                      </w:r>
                      <w:r>
                        <w:rPr>
                          <w:rFonts w:ascii="SimSun" w:hAnsi="SimSun" w:eastAsia="SimSun" w:cs="SimSun"/>
                          <w:sz w:val="24"/>
                          <w:szCs w:val="24"/>
                          <w:spacing w:val="-93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24"/>
                          <w:szCs w:val="24"/>
                          <w:spacing w:val="-9"/>
                        </w:rPr>
                        <w:t>11—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56"/>
        <w:rPr/>
      </w:pPr>
      <w:r/>
    </w:p>
    <w:tbl>
      <w:tblPr>
        <w:tblStyle w:val="TableNormal"/>
        <w:tblW w:w="12969" w:type="dxa"/>
        <w:tblInd w:w="793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64"/>
        <w:gridCol w:w="1029"/>
        <w:gridCol w:w="4966"/>
        <w:gridCol w:w="6110"/>
      </w:tblGrid>
      <w:tr>
        <w:trPr>
          <w:trHeight w:val="504" w:hRule="atLeast"/>
        </w:trPr>
        <w:tc>
          <w:tcPr>
            <w:tcW w:w="864" w:type="dxa"/>
            <w:vAlign w:val="top"/>
          </w:tcPr>
          <w:p>
            <w:pPr>
              <w:ind w:left="208"/>
              <w:spacing w:before="142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-5"/>
              </w:rPr>
              <w:t>序号</w:t>
            </w:r>
          </w:p>
        </w:tc>
        <w:tc>
          <w:tcPr>
            <w:tcW w:w="1029" w:type="dxa"/>
            <w:vAlign w:val="top"/>
          </w:tcPr>
          <w:p>
            <w:pPr>
              <w:ind w:left="174"/>
              <w:spacing w:before="141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1"/>
              </w:rPr>
              <w:t>行政区</w:t>
            </w:r>
          </w:p>
        </w:tc>
        <w:tc>
          <w:tcPr>
            <w:tcW w:w="4966" w:type="dxa"/>
            <w:vAlign w:val="top"/>
          </w:tcPr>
          <w:p>
            <w:pPr>
              <w:ind w:left="1815"/>
              <w:spacing w:before="139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-4"/>
              </w:rPr>
              <w:t>推荐项目名称</w:t>
            </w:r>
          </w:p>
        </w:tc>
        <w:tc>
          <w:tcPr>
            <w:tcW w:w="6110" w:type="dxa"/>
            <w:vAlign w:val="top"/>
          </w:tcPr>
          <w:p>
            <w:pPr>
              <w:ind w:left="2629"/>
              <w:spacing w:before="142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b/>
                <w:bCs/>
                <w:spacing w:val="-5"/>
              </w:rPr>
              <w:t>参建主体</w:t>
            </w:r>
          </w:p>
        </w:tc>
      </w:tr>
      <w:tr>
        <w:trPr>
          <w:trHeight w:val="899" w:hRule="atLeast"/>
        </w:trPr>
        <w:tc>
          <w:tcPr>
            <w:tcW w:w="864" w:type="dxa"/>
            <w:vAlign w:val="top"/>
          </w:tcPr>
          <w:p>
            <w:pPr>
              <w:pStyle w:val="TableText"/>
              <w:spacing w:line="288" w:lineRule="auto"/>
              <w:rPr/>
            </w:pPr>
            <w:r/>
          </w:p>
          <w:p>
            <w:pPr>
              <w:ind w:left="314"/>
              <w:spacing w:before="72" w:line="24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color w:val="001020"/>
                <w:spacing w:val="-7"/>
              </w:rPr>
              <w:t>14</w:t>
            </w:r>
          </w:p>
        </w:tc>
        <w:tc>
          <w:tcPr>
            <w:tcW w:w="1029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170"/>
              <w:spacing w:before="71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洪山区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552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东湖新城149地块项目(一期)一标段项目</w:t>
            </w:r>
          </w:p>
        </w:tc>
        <w:tc>
          <w:tcPr>
            <w:tcW w:w="6110" w:type="dxa"/>
            <w:vAlign w:val="top"/>
          </w:tcPr>
          <w:p>
            <w:pPr>
              <w:ind w:left="115"/>
              <w:spacing w:before="91" w:line="21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建设单位：武汉天创置业有限公司</w:t>
            </w:r>
          </w:p>
          <w:p>
            <w:pPr>
              <w:ind w:left="115"/>
              <w:spacing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施工单位：中国建筑第八工程局有限公司</w:t>
            </w:r>
          </w:p>
          <w:p>
            <w:pPr>
              <w:ind w:left="115"/>
              <w:spacing w:before="19" w:line="21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监理单位：中咨工程管理咨询有限公司</w:t>
            </w:r>
          </w:p>
        </w:tc>
      </w:tr>
      <w:tr>
        <w:trPr>
          <w:trHeight w:val="899" w:hRule="atLeast"/>
        </w:trPr>
        <w:tc>
          <w:tcPr>
            <w:tcW w:w="864" w:type="dxa"/>
            <w:vAlign w:val="top"/>
          </w:tcPr>
          <w:p>
            <w:pPr>
              <w:pStyle w:val="TableText"/>
              <w:spacing w:line="289" w:lineRule="auto"/>
              <w:rPr/>
            </w:pPr>
            <w:r/>
          </w:p>
          <w:p>
            <w:pPr>
              <w:ind w:left="314"/>
              <w:spacing w:before="71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15</w:t>
            </w:r>
          </w:p>
        </w:tc>
        <w:tc>
          <w:tcPr>
            <w:tcW w:w="1029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170"/>
              <w:spacing w:before="71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洪山区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1811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武汉学城高中</w:t>
            </w:r>
          </w:p>
        </w:tc>
        <w:tc>
          <w:tcPr>
            <w:tcW w:w="6110" w:type="dxa"/>
            <w:vAlign w:val="top"/>
          </w:tcPr>
          <w:p>
            <w:pPr>
              <w:ind w:left="115"/>
              <w:spacing w:before="9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建设单位：武汉市洪建项目管理有限公司</w:t>
            </w:r>
          </w:p>
          <w:p>
            <w:pPr>
              <w:ind w:left="115"/>
              <w:spacing w:before="18"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施工单位：中建三局集团有限公司</w:t>
            </w:r>
          </w:p>
          <w:p>
            <w:pPr>
              <w:ind w:left="115"/>
              <w:spacing w:line="21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监理单位：湖北博成建设项目管理有限公司</w:t>
            </w:r>
          </w:p>
        </w:tc>
      </w:tr>
      <w:tr>
        <w:trPr>
          <w:trHeight w:val="899" w:hRule="atLeast"/>
        </w:trPr>
        <w:tc>
          <w:tcPr>
            <w:tcW w:w="864" w:type="dxa"/>
            <w:vAlign w:val="top"/>
          </w:tcPr>
          <w:p>
            <w:pPr>
              <w:pStyle w:val="TableText"/>
              <w:spacing w:line="290" w:lineRule="auto"/>
              <w:rPr/>
            </w:pPr>
            <w:r/>
          </w:p>
          <w:p>
            <w:pPr>
              <w:ind w:left="314"/>
              <w:spacing w:before="71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16</w:t>
            </w:r>
          </w:p>
        </w:tc>
        <w:tc>
          <w:tcPr>
            <w:tcW w:w="1029" w:type="dxa"/>
            <w:vAlign w:val="top"/>
          </w:tcPr>
          <w:p>
            <w:pPr>
              <w:ind w:left="390" w:right="170" w:hanging="220"/>
              <w:spacing w:before="222" w:line="23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5"/>
              </w:rPr>
              <w:t>东西湖</w:t>
            </w: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</w:rPr>
              <w:t>区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1371"/>
              <w:spacing w:before="72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P(2023)145号地块项目</w:t>
            </w:r>
          </w:p>
        </w:tc>
        <w:tc>
          <w:tcPr>
            <w:tcW w:w="6110" w:type="dxa"/>
            <w:vAlign w:val="top"/>
          </w:tcPr>
          <w:p>
            <w:pPr>
              <w:ind w:left="115"/>
              <w:spacing w:before="9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建设单位：湖北东方房地产有限公司</w:t>
            </w:r>
          </w:p>
          <w:p>
            <w:pPr>
              <w:ind w:left="115"/>
              <w:spacing w:before="8"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施工单位：中建三局第一建设工程有限责任公司</w:t>
            </w:r>
          </w:p>
          <w:p>
            <w:pPr>
              <w:ind w:left="115"/>
              <w:spacing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监理单位：中冶南方武汉工程咨询管理有限公司</w:t>
            </w:r>
          </w:p>
        </w:tc>
      </w:tr>
      <w:tr>
        <w:trPr>
          <w:trHeight w:val="909" w:hRule="atLeast"/>
        </w:trPr>
        <w:tc>
          <w:tcPr>
            <w:tcW w:w="864" w:type="dxa"/>
            <w:vAlign w:val="top"/>
          </w:tcPr>
          <w:p>
            <w:pPr>
              <w:pStyle w:val="TableText"/>
              <w:spacing w:line="301" w:lineRule="auto"/>
              <w:rPr/>
            </w:pPr>
            <w:r/>
          </w:p>
          <w:p>
            <w:pPr>
              <w:ind w:left="314"/>
              <w:spacing w:before="71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17</w:t>
            </w:r>
          </w:p>
        </w:tc>
        <w:tc>
          <w:tcPr>
            <w:tcW w:w="1029" w:type="dxa"/>
            <w:vAlign w:val="top"/>
          </w:tcPr>
          <w:p>
            <w:pPr>
              <w:ind w:left="170"/>
              <w:spacing w:before="233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长江新</w:t>
            </w:r>
          </w:p>
          <w:p>
            <w:pPr>
              <w:ind w:left="390"/>
              <w:spacing w:before="13" w:line="22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区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381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长江新区科创港科教融合创新园区一图书馆</w:t>
            </w:r>
          </w:p>
        </w:tc>
        <w:tc>
          <w:tcPr>
            <w:tcW w:w="6110" w:type="dxa"/>
            <w:vAlign w:val="top"/>
          </w:tcPr>
          <w:p>
            <w:pPr>
              <w:ind w:left="115"/>
              <w:spacing w:before="112" w:line="21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建设单位：武汉长江新区科教产业创新发展有限公司</w:t>
            </w:r>
          </w:p>
          <w:p>
            <w:pPr>
              <w:ind w:left="115"/>
              <w:spacing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施工单位：武汉建工集团股份有限公司</w:t>
            </w:r>
          </w:p>
          <w:p>
            <w:pPr>
              <w:ind w:left="115"/>
              <w:spacing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监理单位：北京东方华太建设监理有限公司</w:t>
            </w:r>
          </w:p>
        </w:tc>
      </w:tr>
      <w:tr>
        <w:trPr>
          <w:trHeight w:val="898" w:hRule="atLeast"/>
        </w:trPr>
        <w:tc>
          <w:tcPr>
            <w:tcW w:w="864" w:type="dxa"/>
            <w:vAlign w:val="top"/>
          </w:tcPr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314"/>
              <w:spacing w:before="71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18</w:t>
            </w:r>
          </w:p>
        </w:tc>
        <w:tc>
          <w:tcPr>
            <w:tcW w:w="1029" w:type="dxa"/>
            <w:vAlign w:val="top"/>
          </w:tcPr>
          <w:p>
            <w:pPr>
              <w:ind w:left="170"/>
              <w:spacing w:before="224"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长江新</w:t>
            </w:r>
          </w:p>
          <w:p>
            <w:pPr>
              <w:ind w:left="390"/>
              <w:spacing w:before="13" w:line="22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区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711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麓洲国际项目(万华武汉R2地块一期)</w:t>
            </w:r>
          </w:p>
        </w:tc>
        <w:tc>
          <w:tcPr>
            <w:tcW w:w="6110" w:type="dxa"/>
            <w:vAlign w:val="top"/>
          </w:tcPr>
          <w:p>
            <w:pPr>
              <w:ind w:left="115"/>
              <w:spacing w:before="94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建设单位：武汉市麓华房地产开发有限公司</w:t>
            </w:r>
          </w:p>
          <w:p>
            <w:pPr>
              <w:ind w:left="115"/>
              <w:spacing w:before="8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施工单位：中国建筑第八工程局有限公司</w:t>
            </w:r>
          </w:p>
          <w:p>
            <w:pPr>
              <w:ind w:left="115"/>
              <w:spacing w:before="18" w:line="20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监理单位：武汉中建工程管理有限公司</w:t>
            </w:r>
          </w:p>
        </w:tc>
      </w:tr>
      <w:tr>
        <w:trPr>
          <w:trHeight w:val="899" w:hRule="atLeast"/>
        </w:trPr>
        <w:tc>
          <w:tcPr>
            <w:tcW w:w="864" w:type="dxa"/>
            <w:vAlign w:val="top"/>
          </w:tcPr>
          <w:p>
            <w:pPr>
              <w:pStyle w:val="TableText"/>
              <w:spacing w:line="294" w:lineRule="auto"/>
              <w:rPr/>
            </w:pPr>
            <w:r/>
          </w:p>
          <w:p>
            <w:pPr>
              <w:ind w:left="314"/>
              <w:spacing w:before="71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7"/>
              </w:rPr>
              <w:t>19</w:t>
            </w:r>
          </w:p>
        </w:tc>
        <w:tc>
          <w:tcPr>
            <w:tcW w:w="1029" w:type="dxa"/>
            <w:vAlign w:val="top"/>
          </w:tcPr>
          <w:p>
            <w:pPr>
              <w:ind w:left="280" w:right="178" w:hanging="110"/>
              <w:spacing w:before="235" w:line="21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东湖高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5"/>
              </w:rPr>
              <w:t>新</w:t>
            </w:r>
            <w:r>
              <w:rPr>
                <w:rFonts w:ascii="SimSun" w:hAnsi="SimSun" w:eastAsia="SimSun" w:cs="SimSun"/>
                <w:sz w:val="22"/>
                <w:szCs w:val="22"/>
                <w:color w:val="102030"/>
                <w:spacing w:val="-5"/>
              </w:rPr>
              <w:t>区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1102"/>
              <w:spacing w:before="72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流芳体育中心工程总承包EPC</w:t>
            </w:r>
          </w:p>
        </w:tc>
        <w:tc>
          <w:tcPr>
            <w:tcW w:w="6110" w:type="dxa"/>
            <w:vAlign w:val="top"/>
          </w:tcPr>
          <w:p>
            <w:pPr>
              <w:ind w:left="115"/>
              <w:spacing w:before="95" w:line="21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建设单位：武汉光谷旅游开发投资有限公司</w:t>
            </w:r>
          </w:p>
          <w:p>
            <w:pPr>
              <w:ind w:left="115"/>
              <w:spacing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施工单位：中国建筑第八工程局有限公司</w:t>
            </w:r>
          </w:p>
          <w:p>
            <w:pPr>
              <w:ind w:left="115"/>
              <w:spacing w:before="9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监理单位：三信建设咨询集团有限公司</w:t>
            </w:r>
          </w:p>
        </w:tc>
      </w:tr>
      <w:tr>
        <w:trPr>
          <w:trHeight w:val="909" w:hRule="atLeast"/>
        </w:trPr>
        <w:tc>
          <w:tcPr>
            <w:tcW w:w="864" w:type="dxa"/>
            <w:vAlign w:val="top"/>
          </w:tcPr>
          <w:p>
            <w:pPr>
              <w:pStyle w:val="TableText"/>
              <w:spacing w:line="305" w:lineRule="auto"/>
              <w:rPr/>
            </w:pPr>
            <w:r/>
          </w:p>
          <w:p>
            <w:pPr>
              <w:ind w:left="314"/>
              <w:spacing w:before="71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20</w:t>
            </w:r>
          </w:p>
        </w:tc>
        <w:tc>
          <w:tcPr>
            <w:tcW w:w="1029" w:type="dxa"/>
            <w:vAlign w:val="top"/>
          </w:tcPr>
          <w:p>
            <w:pPr>
              <w:ind w:left="280" w:right="178" w:hanging="110"/>
              <w:spacing w:before="227" w:line="21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>东湖高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>新区</w:t>
            </w:r>
          </w:p>
        </w:tc>
        <w:tc>
          <w:tcPr>
            <w:tcW w:w="4966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ind w:left="931"/>
              <w:spacing w:before="71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华中科技大学先进制造大楼二期</w:t>
            </w:r>
          </w:p>
        </w:tc>
        <w:tc>
          <w:tcPr>
            <w:tcW w:w="6110" w:type="dxa"/>
            <w:vAlign w:val="top"/>
          </w:tcPr>
          <w:p>
            <w:pPr>
              <w:ind w:left="115"/>
              <w:spacing w:before="75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建设单位：华中科技大学</w:t>
            </w:r>
          </w:p>
          <w:p>
            <w:pPr>
              <w:ind w:left="115"/>
              <w:spacing w:before="29"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施工单位：中国建筑第八工程局有限公司</w:t>
            </w:r>
          </w:p>
          <w:p>
            <w:pPr>
              <w:ind w:left="115"/>
              <w:spacing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监理单位：中韬华胜工程科技有限公司</w:t>
            </w:r>
          </w:p>
        </w:tc>
      </w:tr>
      <w:tr>
        <w:trPr>
          <w:trHeight w:val="913" w:hRule="atLeast"/>
        </w:trPr>
        <w:tc>
          <w:tcPr>
            <w:tcW w:w="864" w:type="dxa"/>
            <w:vAlign w:val="top"/>
          </w:tcPr>
          <w:p>
            <w:pPr>
              <w:pStyle w:val="TableText"/>
              <w:spacing w:line="306" w:lineRule="auto"/>
              <w:rPr/>
            </w:pPr>
            <w:r/>
          </w:p>
          <w:p>
            <w:pPr>
              <w:ind w:left="314"/>
              <w:spacing w:before="72" w:line="24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3"/>
              </w:rPr>
              <w:t>21</w:t>
            </w:r>
          </w:p>
        </w:tc>
        <w:tc>
          <w:tcPr>
            <w:tcW w:w="1029" w:type="dxa"/>
            <w:vAlign w:val="top"/>
          </w:tcPr>
          <w:p>
            <w:pPr>
              <w:pStyle w:val="TableText"/>
              <w:spacing w:line="287" w:lineRule="auto"/>
              <w:rPr/>
            </w:pPr>
            <w:r/>
          </w:p>
          <w:p>
            <w:pPr>
              <w:ind w:left="170"/>
              <w:spacing w:before="72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江夏区</w:t>
            </w:r>
          </w:p>
        </w:tc>
        <w:tc>
          <w:tcPr>
            <w:tcW w:w="4966" w:type="dxa"/>
            <w:vAlign w:val="top"/>
          </w:tcPr>
          <w:p>
            <w:pPr>
              <w:ind w:left="2251" w:right="181" w:hanging="2090"/>
              <w:spacing w:before="238" w:line="22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海康威视武汉智慧产业园二期一标段施工总承包</w:t>
            </w:r>
            <w:r>
              <w:rPr>
                <w:rFonts w:ascii="SimSun" w:hAnsi="SimSun" w:eastAsia="SimSun" w:cs="SimSun"/>
                <w:sz w:val="22"/>
                <w:szCs w:val="22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-6"/>
              </w:rPr>
              <w:t>项 目</w:t>
            </w:r>
          </w:p>
        </w:tc>
        <w:tc>
          <w:tcPr>
            <w:tcW w:w="6110" w:type="dxa"/>
            <w:vAlign w:val="top"/>
          </w:tcPr>
          <w:p>
            <w:pPr>
              <w:ind w:left="115"/>
              <w:spacing w:before="76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建设单位：武汉皓榕科技有限公司</w:t>
            </w:r>
          </w:p>
          <w:p>
            <w:pPr>
              <w:ind w:left="115"/>
              <w:spacing w:before="20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>施工单位：中建三局集团有限公司</w:t>
            </w:r>
          </w:p>
          <w:p>
            <w:pPr>
              <w:ind w:left="115"/>
              <w:spacing w:before="9" w:line="21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>监理单位：浙江江南工程管理股份有限公司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6820" w:h="11640"/>
      <w:pgMar w:top="989" w:right="1955" w:bottom="400" w:left="1096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19"/>
      <w:spacing w:line="49" w:lineRule="exact"/>
      <w:rPr/>
    </w:pPr>
    <w:r>
      <w:rPr/>
      <w:drawing>
        <wp:inline distT="0" distB="0" distL="0" distR="0">
          <wp:extent cx="5969038" cy="31695"/>
          <wp:effectExtent l="0" t="0" r="0" b="0"/>
          <wp:docPr id="2" name="IM 2"/>
          <wp:cNvGraphicFramePr/>
          <a:graphic>
            <a:graphicData uri="http://schemas.openxmlformats.org/drawingml/2006/picture">
              <pic:pic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969038" cy="31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40"/>
      <w:spacing w:line="232" w:lineRule="auto"/>
      <w:rPr>
        <w:rFonts w:ascii="SimSun" w:hAnsi="SimSun" w:eastAsia="SimSun" w:cs="SimSun"/>
        <w:sz w:val="22"/>
        <w:szCs w:val="22"/>
      </w:rPr>
    </w:pPr>
    <w:r>
      <w:rPr>
        <w:rFonts w:ascii="SimSun" w:hAnsi="SimSun" w:eastAsia="SimSun" w:cs="SimSun"/>
        <w:sz w:val="22"/>
        <w:szCs w:val="22"/>
        <w:spacing w:val="-3"/>
      </w:rPr>
      <w:t>—2—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030"/>
      <w:spacing w:line="232" w:lineRule="auto"/>
      <w:rPr>
        <w:rFonts w:ascii="SimSun" w:hAnsi="SimSun" w:eastAsia="SimSun" w:cs="SimSun"/>
        <w:sz w:val="25"/>
        <w:szCs w:val="25"/>
      </w:rPr>
    </w:pPr>
    <w:r>
      <w:rPr>
        <w:rFonts w:ascii="SimSun" w:hAnsi="SimSun" w:eastAsia="SimSun" w:cs="SimSun"/>
        <w:sz w:val="25"/>
        <w:szCs w:val="25"/>
        <w:spacing w:val="-3"/>
      </w:rPr>
      <w:t>—3—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69"/>
      <w:spacing w:line="234" w:lineRule="auto"/>
      <w:rPr>
        <w:rFonts w:ascii="SimSun" w:hAnsi="SimSun" w:eastAsia="SimSun" w:cs="SimSun"/>
        <w:sz w:val="27"/>
        <w:szCs w:val="27"/>
      </w:rPr>
    </w:pPr>
    <w:r>
      <w:rPr>
        <w:rFonts w:ascii="SimSun" w:hAnsi="SimSun" w:eastAsia="SimSun" w:cs="SimSun"/>
        <w:sz w:val="27"/>
        <w:szCs w:val="27"/>
        <w:spacing w:val="-3"/>
      </w:rPr>
      <w:t>—4—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050"/>
      <w:spacing w:line="232" w:lineRule="auto"/>
      <w:rPr>
        <w:rFonts w:ascii="SimSun" w:hAnsi="SimSun" w:eastAsia="SimSun" w:cs="SimSun"/>
        <w:sz w:val="25"/>
        <w:szCs w:val="25"/>
      </w:rPr>
    </w:pPr>
    <w:r>
      <w:rPr>
        <w:rFonts w:ascii="SimSun" w:hAnsi="SimSun" w:eastAsia="SimSun" w:cs="SimSun"/>
        <w:sz w:val="25"/>
        <w:szCs w:val="25"/>
        <w:spacing w:val="-3"/>
      </w:rPr>
      <w:t>—5—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39"/>
      <w:spacing w:line="232" w:lineRule="auto"/>
      <w:rPr>
        <w:rFonts w:ascii="SimSun" w:hAnsi="SimSun" w:eastAsia="SimSun" w:cs="SimSun"/>
        <w:sz w:val="26"/>
        <w:szCs w:val="26"/>
      </w:rPr>
    </w:pPr>
    <w:r>
      <w:rPr>
        <w:rFonts w:ascii="SimSun" w:hAnsi="SimSun" w:eastAsia="SimSun" w:cs="SimSun"/>
        <w:sz w:val="26"/>
        <w:szCs w:val="26"/>
        <w:spacing w:val="-3"/>
      </w:rPr>
      <w:t>—6—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060"/>
      <w:spacing w:before="1" w:line="231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3"/>
      </w:rPr>
      <w:t>—7—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95"/>
      <w:spacing w:line="233" w:lineRule="auto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z w:val="29"/>
        <w:szCs w:val="29"/>
        <w:spacing w:val="-19"/>
      </w:rPr>
      <w:t>—8—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0" w:lineRule="exact"/>
      <w:rPr>
        <w:rFonts w:ascii="Arial"/>
        <w:sz w:val="2"/>
      </w:rPr>
    </w:pPr>
    <w:r>
      <mc:AlternateContent xmlns:mc="http://schemas.openxmlformats.org/markup-compatibility/2006"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page">
                <wp:posOffset>772251</wp:posOffset>
              </wp:positionH>
              <wp:positionV relativeFrom="page">
                <wp:posOffset>6230325</wp:posOffset>
              </wp:positionV>
              <wp:extent cx="45084" cy="360045"/>
              <wp:effectExtent l="0" t="0" r="0" b="0"/>
              <wp:wrapNone/>
              <wp:docPr id="8" name="TextBox 8"/>
              <wp:cNvGraphicFramePr/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 rot="16200000">
                        <a:off x="772251" y="6230325"/>
                        <a:ext cx="45084" cy="360045"/>
                      </a:xfrm>
                      <a:prstGeom prst="rect">
                        <a:avLst/>
                      </a:prstGeom>
                      <a:noFill/>
                      <a:ln w="0" cap="flat">
                        <a:noFill/>
                        <a:prstDash val="solid"/>
                        <a:miter lim="0"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pacing w:before="117"/>
                            <w:jc w:val="right"/>
                            <w:rPr>
                              <w:rFonts w:ascii="SimSun" w:hAnsi="SimSun" w:eastAsia="SimSun" w:cs="SimSun"/>
                              <w:sz w:val="33"/>
                              <w:szCs w:val="33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33"/>
                              <w:szCs w:val="33"/>
                              <w:w w:val="3"/>
                            </w:rPr>
                            <w:t>—6—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2" style="position:absolute;margin-left:60.8072pt;margin-top:490.577pt;mso-position-vertical-relative:page;mso-position-horizontal-relative:page;width:3.55pt;height:28.35pt;z-index:251658240;rotation:270;" o:allowincell="f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before="117"/>
                      <w:jc w:val="right"/>
                      <w:rPr>
                        <w:rFonts w:ascii="SimSun" w:hAnsi="SimSun" w:eastAsia="SimSun" w:cs="SimSun"/>
                        <w:sz w:val="33"/>
                        <w:szCs w:val="33"/>
                      </w:rPr>
                    </w:pPr>
                    <w:r>
                      <w:rPr>
                        <w:rFonts w:ascii="SimSun" w:hAnsi="SimSun" w:eastAsia="SimSun" w:cs="SimSun"/>
                        <w:sz w:val="33"/>
                        <w:szCs w:val="33"/>
                        <w:w w:val="3"/>
                      </w:rPr>
                      <w:t>—6—</w:t>
                    </w:r>
                  </w:p>
                </w:txbxContent>
              </v:textbox>
            </v:shape>
          </w:pict>
        </mc:Fallback>
      </mc:AlternateContent>
    </w: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2"/>
      <w:szCs w:val="32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image" Target="media/image3.png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" Type="http://schemas.openxmlformats.org/officeDocument/2006/relationships/image" Target="media/image2.jpeg"/><Relationship Id="rId15" Type="http://schemas.openxmlformats.org/officeDocument/2006/relationships/fontTable" Target="fontTable.xml"/><Relationship Id="rId14" Type="http://schemas.openxmlformats.org/officeDocument/2006/relationships/styles" Target="styles.xml"/><Relationship Id="rId13" Type="http://schemas.openxmlformats.org/officeDocument/2006/relationships/settings" Target="settings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2026-07-10T15:41:23Z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2026-07-10T15:41:24</vt:filetime>
  </property>
  <property fmtid="{D5CDD505-2E9C-101B-9397-08002B2CF9AE}" pid="4" name="UsrData">
    <vt:lpwstr>6a50a22063bd8f001f497af5wl</vt:lpwstr>
  </property>
</Properties>
</file>