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806"/>
        <w:spacing w:before="271" w:line="207" w:lineRule="auto"/>
        <w:rPr/>
      </w:pPr>
      <w:r>
        <w:rPr>
          <w:color w:val="FF0000"/>
          <w:spacing w:val="-19"/>
          <w:w w:val="93"/>
        </w:rPr>
        <w:t>湖北省住房和城乡建设厅</w:t>
      </w:r>
    </w:p>
    <w:p>
      <w:pPr>
        <w:pStyle w:val="BodyText"/>
        <w:ind w:left="806"/>
        <w:spacing w:before="1" w:line="202" w:lineRule="auto"/>
        <w:rPr/>
      </w:pPr>
      <w:r>
        <w:rPr>
          <w:color w:val="FF0000"/>
          <w:spacing w:val="-9"/>
          <w:w w:val="71"/>
        </w:rPr>
        <w:t>湖</w:t>
      </w:r>
      <w:r>
        <w:rPr>
          <w:color w:val="FF0000"/>
          <w:spacing w:val="39"/>
        </w:rPr>
        <w:t xml:space="preserve">    </w:t>
      </w:r>
      <w:r>
        <w:rPr>
          <w:color w:val="FF0000"/>
          <w:spacing w:val="-9"/>
          <w:w w:val="71"/>
        </w:rPr>
        <w:t>北</w:t>
      </w:r>
      <w:r>
        <w:rPr>
          <w:color w:val="FF0000"/>
          <w:spacing w:val="35"/>
        </w:rPr>
        <w:t xml:space="preserve">    </w:t>
      </w:r>
      <w:r>
        <w:rPr>
          <w:color w:val="FF0000"/>
          <w:spacing w:val="-9"/>
          <w:w w:val="71"/>
        </w:rPr>
        <w:t>省</w:t>
      </w:r>
      <w:r>
        <w:rPr>
          <w:color w:val="FF0000"/>
          <w:spacing w:val="33"/>
        </w:rPr>
        <w:t xml:space="preserve">    </w:t>
      </w:r>
      <w:r>
        <w:rPr>
          <w:color w:val="FF0000"/>
          <w:spacing w:val="-9"/>
          <w:w w:val="71"/>
        </w:rPr>
        <w:t>财</w:t>
      </w:r>
      <w:r>
        <w:rPr>
          <w:color w:val="FF0000"/>
          <w:spacing w:val="33"/>
        </w:rPr>
        <w:t xml:space="preserve">    </w:t>
      </w:r>
      <w:r>
        <w:rPr>
          <w:color w:val="FF0000"/>
          <w:spacing w:val="-9"/>
          <w:w w:val="71"/>
        </w:rPr>
        <w:t>政</w:t>
      </w:r>
      <w:r>
        <w:rPr>
          <w:color w:val="FF0000"/>
          <w:spacing w:val="33"/>
        </w:rPr>
        <w:t xml:space="preserve">    </w:t>
      </w:r>
      <w:r>
        <w:rPr>
          <w:color w:val="FF0000"/>
          <w:spacing w:val="-9"/>
          <w:w w:val="71"/>
        </w:rPr>
        <w:t>厅</w:t>
      </w:r>
    </w:p>
    <w:p>
      <w:pPr>
        <w:pStyle w:val="BodyText"/>
        <w:ind w:left="806"/>
        <w:spacing w:before="2" w:line="207" w:lineRule="auto"/>
        <w:outlineLvl w:val="0"/>
        <w:rPr/>
      </w:pPr>
      <w:r>
        <w:rPr>
          <w:color w:val="FF0000"/>
          <w:spacing w:val="-72"/>
          <w:w w:val="83"/>
        </w:rPr>
        <w:t>湖</w:t>
      </w:r>
      <w:r>
        <w:rPr>
          <w:color w:val="FF0000"/>
          <w:spacing w:val="81"/>
        </w:rPr>
        <w:t xml:space="preserve">  </w:t>
      </w:r>
      <w:r>
        <w:rPr>
          <w:color w:val="FF0000"/>
          <w:spacing w:val="-72"/>
          <w:w w:val="83"/>
        </w:rPr>
        <w:t>北</w:t>
      </w:r>
      <w:r>
        <w:rPr>
          <w:color w:val="FF0000"/>
          <w:spacing w:val="64"/>
        </w:rPr>
        <w:t xml:space="preserve">  </w:t>
      </w:r>
      <w:r>
        <w:rPr>
          <w:color w:val="FF0000"/>
          <w:spacing w:val="-72"/>
          <w:w w:val="83"/>
        </w:rPr>
        <w:t>省    自    然    资</w:t>
      </w:r>
      <w:r>
        <w:rPr>
          <w:color w:val="FF0000"/>
          <w:spacing w:val="59"/>
        </w:rPr>
        <w:t xml:space="preserve">  </w:t>
      </w:r>
      <w:r>
        <w:rPr>
          <w:color w:val="FF0000"/>
          <w:spacing w:val="-72"/>
          <w:w w:val="83"/>
        </w:rPr>
        <w:t>源</w:t>
      </w:r>
      <w:r>
        <w:rPr>
          <w:color w:val="FF0000"/>
          <w:spacing w:val="60"/>
        </w:rPr>
        <w:t xml:space="preserve">  </w:t>
      </w:r>
      <w:r>
        <w:rPr>
          <w:color w:val="FF0000"/>
          <w:spacing w:val="-72"/>
          <w:w w:val="83"/>
        </w:rPr>
        <w:t>厅</w:t>
      </w:r>
    </w:p>
    <w:p>
      <w:pPr>
        <w:pStyle w:val="BodyText"/>
        <w:ind w:left="806"/>
        <w:spacing w:before="2" w:line="206" w:lineRule="auto"/>
        <w:rPr/>
      </w:pPr>
      <w:r>
        <w:rPr>
          <w:color w:val="FF0000"/>
          <w:spacing w:val="-13"/>
          <w:w w:val="70"/>
        </w:rPr>
        <w:t>湖</w:t>
      </w:r>
      <w:r>
        <w:rPr>
          <w:color w:val="FF0000"/>
          <w:spacing w:val="75"/>
        </w:rPr>
        <w:t xml:space="preserve">  </w:t>
      </w:r>
      <w:r>
        <w:rPr>
          <w:color w:val="FF0000"/>
          <w:spacing w:val="-13"/>
          <w:w w:val="70"/>
        </w:rPr>
        <w:t>北</w:t>
      </w:r>
      <w:r>
        <w:rPr>
          <w:color w:val="FF0000"/>
          <w:spacing w:val="64"/>
        </w:rPr>
        <w:t xml:space="preserve">  </w:t>
      </w:r>
      <w:r>
        <w:rPr>
          <w:color w:val="FF0000"/>
          <w:spacing w:val="-13"/>
          <w:w w:val="70"/>
        </w:rPr>
        <w:t>省</w:t>
      </w:r>
      <w:r>
        <w:rPr>
          <w:color w:val="FF0000"/>
          <w:spacing w:val="62"/>
        </w:rPr>
        <w:t xml:space="preserve">  </w:t>
      </w:r>
      <w:r>
        <w:rPr>
          <w:color w:val="FF0000"/>
          <w:spacing w:val="-13"/>
          <w:w w:val="70"/>
        </w:rPr>
        <w:t>交</w:t>
      </w:r>
      <w:r>
        <w:rPr>
          <w:color w:val="FF0000"/>
          <w:spacing w:val="59"/>
        </w:rPr>
        <w:t xml:space="preserve">  </w:t>
      </w:r>
      <w:r>
        <w:rPr>
          <w:color w:val="FF0000"/>
          <w:spacing w:val="-13"/>
          <w:w w:val="70"/>
        </w:rPr>
        <w:t>通</w:t>
      </w:r>
      <w:r>
        <w:rPr>
          <w:color w:val="FF0000"/>
          <w:spacing w:val="61"/>
        </w:rPr>
        <w:t xml:space="preserve">  </w:t>
      </w:r>
      <w:r>
        <w:rPr>
          <w:color w:val="FF0000"/>
          <w:spacing w:val="-13"/>
          <w:w w:val="70"/>
        </w:rPr>
        <w:t>运</w:t>
      </w:r>
      <w:r>
        <w:rPr>
          <w:color w:val="FF0000"/>
          <w:spacing w:val="58"/>
        </w:rPr>
        <w:t xml:space="preserve">  </w:t>
      </w:r>
      <w:r>
        <w:rPr>
          <w:color w:val="FF0000"/>
          <w:spacing w:val="-13"/>
          <w:w w:val="70"/>
        </w:rPr>
        <w:t>输</w:t>
      </w:r>
      <w:r>
        <w:rPr>
          <w:color w:val="FF0000"/>
          <w:spacing w:val="59"/>
        </w:rPr>
        <w:t xml:space="preserve">  </w:t>
      </w:r>
      <w:r>
        <w:rPr>
          <w:color w:val="FF0000"/>
          <w:spacing w:val="-13"/>
          <w:w w:val="70"/>
        </w:rPr>
        <w:t>厅</w:t>
      </w:r>
    </w:p>
    <w:p>
      <w:pPr>
        <w:pStyle w:val="BodyText"/>
        <w:ind w:left="806"/>
        <w:spacing w:before="2" w:line="201" w:lineRule="auto"/>
        <w:rPr/>
      </w:pPr>
      <w:r>
        <w:rPr>
          <w:color w:val="FF0000"/>
          <w:spacing w:val="-14"/>
          <w:w w:val="72"/>
        </w:rPr>
        <w:t>湖</w:t>
      </w:r>
      <w:r>
        <w:rPr>
          <w:color w:val="FF0000"/>
          <w:spacing w:val="32"/>
        </w:rPr>
        <w:t xml:space="preserve">    </w:t>
      </w:r>
      <w:r>
        <w:rPr>
          <w:color w:val="FF0000"/>
          <w:spacing w:val="-14"/>
          <w:w w:val="72"/>
        </w:rPr>
        <w:t>北</w:t>
      </w:r>
      <w:r>
        <w:rPr>
          <w:color w:val="FF0000"/>
          <w:spacing w:val="35"/>
        </w:rPr>
        <w:t xml:space="preserve">    </w:t>
      </w:r>
      <w:r>
        <w:rPr>
          <w:color w:val="FF0000"/>
          <w:spacing w:val="-14"/>
          <w:w w:val="72"/>
        </w:rPr>
        <w:t>省</w:t>
      </w:r>
      <w:r>
        <w:rPr>
          <w:color w:val="FF0000"/>
          <w:spacing w:val="34"/>
        </w:rPr>
        <w:t xml:space="preserve">    </w:t>
      </w:r>
      <w:r>
        <w:rPr>
          <w:color w:val="FF0000"/>
          <w:spacing w:val="-14"/>
          <w:w w:val="72"/>
        </w:rPr>
        <w:t>水</w:t>
      </w:r>
      <w:r>
        <w:rPr>
          <w:color w:val="FF0000"/>
          <w:spacing w:val="34"/>
        </w:rPr>
        <w:t xml:space="preserve">    </w:t>
      </w:r>
      <w:r>
        <w:rPr>
          <w:color w:val="FF0000"/>
          <w:spacing w:val="-14"/>
          <w:w w:val="72"/>
        </w:rPr>
        <w:t>利</w:t>
      </w:r>
      <w:r>
        <w:rPr>
          <w:color w:val="FF0000"/>
          <w:spacing w:val="34"/>
        </w:rPr>
        <w:t xml:space="preserve">    </w:t>
      </w:r>
      <w:r>
        <w:rPr>
          <w:color w:val="FF0000"/>
          <w:spacing w:val="-14"/>
          <w:w w:val="72"/>
        </w:rPr>
        <w:t>厅</w:t>
      </w:r>
    </w:p>
    <w:p>
      <w:pPr>
        <w:spacing w:line="120" w:lineRule="exact"/>
        <w:rPr/>
      </w:pPr>
      <w:r>
        <w:rPr>
          <w:position w:val="-2"/>
        </w:rPr>
        <w:drawing>
          <wp:inline distT="0" distB="0" distL="0" distR="0">
            <wp:extent cx="6120030" cy="762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003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ind w:left="6148"/>
        <w:spacing w:before="10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鄂建函〔2025〕166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号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546"/>
        <w:spacing w:before="185" w:line="211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2"/>
        </w:rPr>
        <w:t>关于印发《〈省政府办公厅关于加快推进绿色</w:t>
      </w:r>
    </w:p>
    <w:p>
      <w:pPr>
        <w:ind w:left="1318"/>
        <w:spacing w:before="70" w:line="211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智能建造产业发展的实施意见〉贯彻</w:t>
      </w:r>
    </w:p>
    <w:p>
      <w:pPr>
        <w:ind w:left="3081"/>
        <w:spacing w:before="71" w:line="211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落实措施》的通知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419" w:right="382" w:firstLine="1"/>
        <w:spacing w:before="101" w:line="35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各市、州、直管市、神农架林区自然资源和城乡建设局、住房和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城市更新局、财政局、交通运输局、水利局：</w:t>
      </w:r>
    </w:p>
    <w:p>
      <w:pPr>
        <w:ind w:left="421" w:right="376" w:firstLine="650"/>
        <w:spacing w:before="2" w:line="357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为深入贯彻落实《湖北省人民政府办公厅关于加快推进绿色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智能建造产业发展的实施意见》（鄂政办发〔202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5〕42</w:t>
      </w:r>
      <w:r>
        <w:rPr>
          <w:rFonts w:ascii="FangSong_GB2312" w:hAnsi="FangSong_GB2312" w:eastAsia="FangSong_GB2312" w:cs="FangSong_GB2312"/>
          <w:sz w:val="31"/>
          <w:szCs w:val="31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号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>），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现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将《〈省政府办公厅关于加快推进绿色智能建造产业发展的实施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ind w:firstLine="92"/>
        <w:spacing w:before="1" w:line="120" w:lineRule="exact"/>
        <w:rPr/>
      </w:pPr>
      <w:r>
        <w:rPr>
          <w:position w:val="-2"/>
        </w:rPr>
        <w:drawing>
          <wp:inline distT="0" distB="0" distL="0" distR="0">
            <wp:extent cx="6029225" cy="7619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9225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0" w:lineRule="exact"/>
        <w:sectPr>
          <w:pgSz w:w="11906" w:h="16838"/>
          <w:pgMar w:top="1431" w:right="1090" w:bottom="0" w:left="1176" w:header="0" w:footer="0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19"/>
        <w:spacing w:before="101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意见〉贯彻落实措施》</w:t>
      </w:r>
      <w:r>
        <w:rPr>
          <w:rFonts w:ascii="FangSong_GB2312" w:hAnsi="FangSong_GB2312" w:eastAsia="FangSong_GB2312" w:cs="FangSong_GB2312"/>
          <w:sz w:val="31"/>
          <w:szCs w:val="31"/>
          <w:spacing w:val="-7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印发给你们，请认真贯彻执行。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1621" w:hanging="961"/>
        <w:spacing w:before="100" w:line="35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附件：《省政府办公厅关于加快推进绿色智能建造产业发展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的实施意见》贯彻落实措施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8"/>
        <w:spacing w:before="10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287836</wp:posOffset>
            </wp:positionH>
            <wp:positionV relativeFrom="paragraph">
              <wp:posOffset>-706317</wp:posOffset>
            </wp:positionV>
            <wp:extent cx="1619999" cy="1619999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9999" cy="161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3467992</wp:posOffset>
            </wp:positionH>
            <wp:positionV relativeFrom="paragraph">
              <wp:posOffset>-687267</wp:posOffset>
            </wp:positionV>
            <wp:extent cx="1619999" cy="161999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9999" cy="161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湖北省住房和城乡建设厅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             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湖北省财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政厅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330"/>
        <w:spacing w:before="101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231743</wp:posOffset>
            </wp:positionH>
            <wp:positionV relativeFrom="paragraph">
              <wp:posOffset>-920962</wp:posOffset>
            </wp:positionV>
            <wp:extent cx="1619996" cy="161999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9996" cy="161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3620342</wp:posOffset>
            </wp:positionH>
            <wp:positionV relativeFrom="paragraph">
              <wp:posOffset>-821280</wp:posOffset>
            </wp:positionV>
            <wp:extent cx="1619999" cy="1619999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9999" cy="161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湖北省自然资源厅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                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湖北省交通运输厅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6090"/>
        <w:spacing w:before="100" w:line="22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3655292</wp:posOffset>
            </wp:positionH>
            <wp:positionV relativeFrom="paragraph">
              <wp:posOffset>-625545</wp:posOffset>
            </wp:positionV>
            <wp:extent cx="1511998" cy="1511998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8" cy="1511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湖北省水利厅</w:t>
      </w:r>
    </w:p>
    <w:p>
      <w:pPr>
        <w:ind w:left="5771"/>
        <w:spacing w:before="229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8"/>
        </w:rPr>
        <w:t>2025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8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8"/>
        </w:rPr>
        <w:t>12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8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8"/>
        </w:rPr>
        <w:t>31</w:t>
      </w:r>
      <w:r>
        <w:rPr>
          <w:rFonts w:ascii="FangSong_GB2312" w:hAnsi="FangSong_GB2312" w:eastAsia="FangSong_GB2312" w:cs="FangSong_GB2312"/>
          <w:sz w:val="31"/>
          <w:szCs w:val="31"/>
          <w:spacing w:val="-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8"/>
        </w:rPr>
        <w:t>日</w:t>
      </w:r>
    </w:p>
    <w:p>
      <w:pPr>
        <w:spacing w:line="220" w:lineRule="auto"/>
        <w:sectPr>
          <w:footerReference w:type="default" r:id="rId3"/>
          <w:pgSz w:w="11906" w:h="16838"/>
          <w:pgMar w:top="1431" w:right="1540" w:bottom="1750" w:left="1599" w:header="0" w:footer="1383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23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附件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907" w:right="299" w:hanging="694"/>
        <w:spacing w:before="184" w:line="242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>《省政府办公厅关于加快推进绿色智能建造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产业发展的实施意见》贯彻落实措施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ind w:left="6" w:firstLine="650"/>
        <w:spacing w:before="100" w:line="357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为深入贯彻落实《湖北省人民政府办公厅关于加快推进绿色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智能建造产业发展的实施意见》（鄂政办发〔2025〕42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号）,加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快推进全省建筑业绿色智能转型和高质量发展，提出如下措施。</w:t>
      </w:r>
    </w:p>
    <w:p>
      <w:pPr>
        <w:ind w:left="651"/>
        <w:spacing w:before="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一、推广应用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BIM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技术</w:t>
      </w:r>
    </w:p>
    <w:p>
      <w:pPr>
        <w:ind w:right="7" w:firstLine="638"/>
        <w:spacing w:before="220" w:line="35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（一）加强</w:t>
      </w:r>
      <w:r>
        <w:rPr>
          <w:rFonts w:ascii="FangSong_GB2312" w:hAnsi="FangSong_GB2312" w:eastAsia="FangSong_GB2312" w:cs="FangSong_GB2312"/>
          <w:sz w:val="31"/>
          <w:szCs w:val="31"/>
          <w:spacing w:val="-5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BIM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全流程管理。设计图审阶段，建设单位在提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供项目施工图设计文件时，应同时提供</w:t>
      </w:r>
      <w:r>
        <w:rPr>
          <w:rFonts w:ascii="FangSong_GB2312" w:hAnsi="FangSong_GB2312" w:eastAsia="FangSong_GB2312" w:cs="FangSong_GB2312"/>
          <w:sz w:val="31"/>
          <w:szCs w:val="31"/>
        </w:rPr>
        <w:t>BIM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模型，未提供</w:t>
      </w:r>
      <w:r>
        <w:rPr>
          <w:rFonts w:ascii="FangSong_GB2312" w:hAnsi="FangSong_GB2312" w:eastAsia="FangSong_GB2312" w:cs="FangSong_GB2312"/>
          <w:sz w:val="31"/>
          <w:szCs w:val="31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BIM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模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型的，审查机构不得出具合格书。招投标阶段，招标文件应在施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工组织方案中明确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BIM</w:t>
      </w:r>
      <w:r>
        <w:rPr>
          <w:rFonts w:ascii="FangSong_GB2312" w:hAnsi="FangSong_GB2312" w:eastAsia="FangSong_GB2312" w:cs="FangSong_GB2312"/>
          <w:sz w:val="31"/>
          <w:szCs w:val="31"/>
          <w:spacing w:val="-5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技术应用要求、评审标准及分值。施工及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验收阶段，施工单位应采用</w:t>
      </w:r>
      <w:r>
        <w:rPr>
          <w:rFonts w:ascii="FangSong_GB2312" w:hAnsi="FangSong_GB2312" w:eastAsia="FangSong_GB2312" w:cs="FangSong_GB2312"/>
          <w:sz w:val="31"/>
          <w:szCs w:val="31"/>
          <w:spacing w:val="-5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BIM</w:t>
      </w:r>
      <w:r>
        <w:rPr>
          <w:rFonts w:ascii="FangSong_GB2312" w:hAnsi="FangSong_GB2312" w:eastAsia="FangSong_GB2312" w:cs="FangSong_GB2312"/>
          <w:sz w:val="31"/>
          <w:szCs w:val="31"/>
          <w:spacing w:val="-6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模型驱动项目管理和现场建造，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建设单位应组织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BIM</w:t>
      </w:r>
      <w:r>
        <w:rPr>
          <w:rFonts w:ascii="FangSong_GB2312" w:hAnsi="FangSong_GB2312" w:eastAsia="FangSong_GB2312" w:cs="FangSong_GB2312"/>
          <w:sz w:val="31"/>
          <w:szCs w:val="31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应用成果验收，项目竣工资料必须包含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BIM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竣工交付成果及验收意见。运维阶段，运维单位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应使用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BIM</w:t>
      </w:r>
      <w:r>
        <w:rPr>
          <w:rFonts w:ascii="FangSong_GB2312" w:hAnsi="FangSong_GB2312" w:eastAsia="FangSong_GB2312" w:cs="FangSong_GB2312"/>
          <w:sz w:val="31"/>
          <w:szCs w:val="31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模型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开展运维管理。建设单位应在编制项目投资概算时将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BIM</w:t>
      </w:r>
      <w:r>
        <w:rPr>
          <w:rFonts w:ascii="FangSong_GB2312" w:hAnsi="FangSong_GB2312" w:eastAsia="FangSong_GB2312" w:cs="FangSong_GB2312"/>
          <w:sz w:val="31"/>
          <w:szCs w:val="31"/>
          <w:spacing w:val="-5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技术应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用费用单独列支。</w:t>
      </w:r>
    </w:p>
    <w:p>
      <w:pPr>
        <w:ind w:left="6" w:right="45" w:firstLine="632"/>
        <w:spacing w:before="2" w:line="35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>（二）加强部门协同。住建部门应会同相关部门定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>期评估</w:t>
      </w:r>
      <w:r>
        <w:rPr>
          <w:rFonts w:ascii="FangSong_GB2312" w:hAnsi="FangSong_GB2312" w:eastAsia="FangSong_GB2312" w:cs="FangSong_GB2312"/>
          <w:sz w:val="31"/>
          <w:szCs w:val="31"/>
        </w:rPr>
        <w:t>BIM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技术应用情况。交通运输、水利等部门应明确各自领域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BIM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技术应用要求，并引入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BIM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技术辅助建设监管。</w:t>
      </w:r>
    </w:p>
    <w:p>
      <w:pPr>
        <w:spacing w:line="357" w:lineRule="auto"/>
        <w:sectPr>
          <w:footerReference w:type="default" r:id="rId9"/>
          <w:pgSz w:w="11906" w:h="16838"/>
          <w:pgMar w:top="1431" w:right="1429" w:bottom="1750" w:left="1592" w:header="0" w:footer="1386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649"/>
        <w:spacing w:before="100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二、推行工程总承包</w:t>
      </w:r>
    </w:p>
    <w:p>
      <w:pPr>
        <w:ind w:left="10" w:right="43" w:firstLine="626"/>
        <w:spacing w:before="221" w:line="35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（一）2026</w:t>
      </w:r>
      <w:r>
        <w:rPr>
          <w:rFonts w:ascii="FangSong_GB2312" w:hAnsi="FangSong_GB2312" w:eastAsia="FangSong_GB2312" w:cs="FangSong_GB2312"/>
          <w:sz w:val="31"/>
          <w:szCs w:val="31"/>
          <w:spacing w:val="-4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1</w:t>
      </w:r>
      <w:r>
        <w:rPr>
          <w:rFonts w:ascii="FangSong_GB2312" w:hAnsi="FangSong_GB2312" w:eastAsia="FangSong_GB2312" w:cs="FangSong_GB2312"/>
          <w:sz w:val="31"/>
          <w:szCs w:val="31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1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日起，全省政府投资的房屋建筑、市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政工程项目须采用工程总承包模式，鼓励社会投资项目采用工程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总承包模式。</w:t>
      </w:r>
    </w:p>
    <w:p>
      <w:pPr>
        <w:ind w:left="7" w:right="46" w:firstLine="629"/>
        <w:spacing w:before="1" w:line="35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（二）按照《国务院办公厅关于大力发展装配式建筑的指导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意见》（国办发〔2016〕71</w:t>
      </w:r>
      <w:r>
        <w:rPr>
          <w:rFonts w:ascii="FangSong_GB2312" w:hAnsi="FangSong_GB2312" w:eastAsia="FangSong_GB2312" w:cs="FangSong_GB2312"/>
          <w:sz w:val="31"/>
          <w:szCs w:val="31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号）要求，装配式建筑原则上采用工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程总承包模式。</w:t>
      </w:r>
    </w:p>
    <w:p>
      <w:pPr>
        <w:ind w:left="10" w:right="46" w:firstLine="626"/>
        <w:spacing w:before="2" w:line="35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（三）工程总承包项目原则上以经批复的初步设计概算为预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算评审依据，根据评审结论组织实施招标投标工作，施工图预算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不得超过对应的评审结论及合同金额。</w:t>
      </w:r>
    </w:p>
    <w:p>
      <w:pPr>
        <w:ind w:left="650"/>
        <w:spacing w:before="3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三、推广装配式建筑</w:t>
      </w:r>
    </w:p>
    <w:p>
      <w:pPr>
        <w:ind w:right="7" w:firstLine="636"/>
        <w:spacing w:before="219" w:line="35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（一）装配式建筑应采用预制楼板、楼梯、内隔墙和竖向构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件等标准化构件，</w:t>
      </w:r>
      <w:r>
        <w:rPr>
          <w:rFonts w:ascii="FangSong_GB2312" w:hAnsi="FangSong_GB2312" w:eastAsia="FangSong_GB2312" w:cs="FangSong_GB2312"/>
          <w:sz w:val="31"/>
          <w:szCs w:val="31"/>
          <w:spacing w:val="-7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带水房间应采用防水底盘等一体化施工技术，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鼓励应用集成厨卫。</w:t>
      </w:r>
    </w:p>
    <w:p>
      <w:pPr>
        <w:ind w:left="17" w:firstLine="619"/>
        <w:spacing w:before="1" w:line="35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（二）国有土地出让（划拨）时，可将装配式建筑要求纳入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国有建设用地出让（划拨）方案。土地成交后，装配式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建筑要求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可纳入国有建设用地使用权出让合同或者国有土地划拨决定书。</w:t>
      </w:r>
    </w:p>
    <w:p>
      <w:pPr>
        <w:ind w:left="13" w:right="43" w:firstLine="622"/>
        <w:spacing w:before="5" w:line="35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（三）建设单位在项目建议书、可行性研究报告中应明确装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配式建筑相关要求，以装配式建筑相关计价依据开展投资估算编</w:t>
      </w:r>
      <w:r>
        <w:rPr>
          <w:rFonts w:ascii="FangSong_GB2312" w:hAnsi="FangSong_GB2312" w:eastAsia="FangSong_GB2312" w:cs="FangSong_GB2312"/>
          <w:sz w:val="31"/>
          <w:szCs w:val="31"/>
          <w:spacing w:val="-19"/>
        </w:rPr>
        <w:t>制。</w:t>
      </w:r>
    </w:p>
    <w:p>
      <w:pPr>
        <w:ind w:right="47"/>
        <w:spacing w:before="1" w:line="218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（四）将落实装配式建筑标准和规定作为施工图设计文件审</w:t>
      </w:r>
    </w:p>
    <w:p>
      <w:pPr>
        <w:spacing w:line="218" w:lineRule="auto"/>
        <w:sectPr>
          <w:footerReference w:type="default" r:id="rId10"/>
          <w:pgSz w:w="11906" w:h="16838"/>
          <w:pgMar w:top="1431" w:right="1429" w:bottom="1750" w:left="1594" w:header="0" w:footer="1383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17" w:hanging="17"/>
        <w:spacing w:before="101" w:line="35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查重要内容，经审查合格的，方可出具施工图设计文件审查合格</w:t>
      </w:r>
      <w:r>
        <w:rPr>
          <w:rFonts w:ascii="FangSong_GB2312" w:hAnsi="FangSong_GB2312" w:eastAsia="FangSong_GB2312" w:cs="FangSong_GB2312"/>
          <w:sz w:val="31"/>
          <w:szCs w:val="31"/>
          <w:spacing w:val="-21"/>
        </w:rPr>
        <w:t>书。</w:t>
      </w:r>
    </w:p>
    <w:p>
      <w:pPr>
        <w:ind w:left="1" w:right="1" w:firstLine="631"/>
        <w:spacing w:before="6" w:line="356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（五）各市州住建部门要加强装配式建筑施工监管，重点控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制好进场构件质量验收、构件吊装质量安全及构件安装节点施工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质量。在竣工验收阶段复核装配式建筑技术评分，复核情况纳入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竣工验收报告。</w:t>
      </w:r>
    </w:p>
    <w:sectPr>
      <w:footerReference w:type="default" r:id="rId11"/>
      <w:pgSz w:w="11906" w:h="16838"/>
      <w:pgMar w:top="1431" w:right="1470" w:bottom="1750" w:left="1598" w:header="0" w:footer="138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0"/>
      <w:spacing w:line="23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—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12"/>
      </w:rPr>
      <w:t>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ZXiaoBiaoSong-B05S" w:hAnsi="FZXiaoBiaoSong-B05S" w:eastAsia="FZXiaoBiaoSong-B05S" w:cs="FZXiaoBiaoSong-B05S"/>
      <w:sz w:val="83"/>
      <w:szCs w:val="8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footer" Target="footer1.xml"/><Relationship Id="rId2" Type="http://schemas.openxmlformats.org/officeDocument/2006/relationships/image" Target="media/image2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1900</dc:creator>
  <dcterms:created xsi:type="dcterms:W3CDTF">2026-01-29T16:16:07Z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2026-06-15T09:58:36</vt:filetime>
  </property>
</Properties>
</file>