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ind w:left="806"/>
        <w:spacing w:before="271" w:line="207" w:lineRule="auto"/>
        <w:rPr/>
      </w:pPr>
      <w:r>
        <w:rPr>
          <w:color w:val="FF0000"/>
          <w:spacing w:val="-19"/>
          <w:w w:val="93"/>
        </w:rPr>
        <w:t>湖北省住房和城乡建设厅</w:t>
      </w:r>
    </w:p>
    <w:p>
      <w:pPr>
        <w:pStyle w:val="BodyText"/>
        <w:ind w:left="806"/>
        <w:spacing w:before="1" w:line="202" w:lineRule="auto"/>
        <w:rPr/>
      </w:pPr>
      <w:r>
        <w:rPr>
          <w:color w:val="FF0000"/>
          <w:spacing w:val="-9"/>
          <w:w w:val="71"/>
        </w:rPr>
        <w:t>湖</w:t>
      </w:r>
      <w:r>
        <w:rPr>
          <w:color w:val="FF0000"/>
          <w:spacing w:val="39"/>
        </w:rPr>
        <w:t xml:space="preserve">    </w:t>
      </w:r>
      <w:r>
        <w:rPr>
          <w:color w:val="FF0000"/>
          <w:spacing w:val="-9"/>
          <w:w w:val="71"/>
        </w:rPr>
        <w:t>北</w:t>
      </w:r>
      <w:r>
        <w:rPr>
          <w:color w:val="FF0000"/>
          <w:spacing w:val="35"/>
        </w:rPr>
        <w:t xml:space="preserve">    </w:t>
      </w:r>
      <w:r>
        <w:rPr>
          <w:color w:val="FF0000"/>
          <w:spacing w:val="-9"/>
          <w:w w:val="71"/>
        </w:rPr>
        <w:t>省</w:t>
      </w:r>
      <w:r>
        <w:rPr>
          <w:color w:val="FF0000"/>
          <w:spacing w:val="33"/>
        </w:rPr>
        <w:t xml:space="preserve">    </w:t>
      </w:r>
      <w:r>
        <w:rPr>
          <w:color w:val="FF0000"/>
          <w:spacing w:val="-9"/>
          <w:w w:val="71"/>
        </w:rPr>
        <w:t>财</w:t>
      </w:r>
      <w:r>
        <w:rPr>
          <w:color w:val="FF0000"/>
          <w:spacing w:val="33"/>
        </w:rPr>
        <w:t xml:space="preserve">    </w:t>
      </w:r>
      <w:r>
        <w:rPr>
          <w:color w:val="FF0000"/>
          <w:spacing w:val="-9"/>
          <w:w w:val="71"/>
        </w:rPr>
        <w:t>政</w:t>
      </w:r>
      <w:r>
        <w:rPr>
          <w:color w:val="FF0000"/>
          <w:spacing w:val="33"/>
        </w:rPr>
        <w:t xml:space="preserve">    </w:t>
      </w:r>
      <w:r>
        <w:rPr>
          <w:color w:val="FF0000"/>
          <w:spacing w:val="-9"/>
          <w:w w:val="71"/>
        </w:rPr>
        <w:t>厅</w:t>
      </w:r>
    </w:p>
    <w:p>
      <w:pPr>
        <w:pStyle w:val="BodyText"/>
        <w:ind w:left="806"/>
        <w:spacing w:before="2" w:line="207" w:lineRule="auto"/>
        <w:outlineLvl w:val="0"/>
        <w:rPr/>
      </w:pPr>
      <w:r>
        <w:rPr>
          <w:color w:val="FF0000"/>
          <w:spacing w:val="-72"/>
          <w:w w:val="83"/>
        </w:rPr>
        <w:t>湖</w:t>
      </w:r>
      <w:r>
        <w:rPr>
          <w:color w:val="FF0000"/>
          <w:spacing w:val="81"/>
        </w:rPr>
        <w:t xml:space="preserve">  </w:t>
      </w:r>
      <w:r>
        <w:rPr>
          <w:color w:val="FF0000"/>
          <w:spacing w:val="-72"/>
          <w:w w:val="83"/>
        </w:rPr>
        <w:t>北</w:t>
      </w:r>
      <w:r>
        <w:rPr>
          <w:color w:val="FF0000"/>
          <w:spacing w:val="64"/>
        </w:rPr>
        <w:t xml:space="preserve">  </w:t>
      </w:r>
      <w:r>
        <w:rPr>
          <w:color w:val="FF0000"/>
          <w:spacing w:val="-72"/>
          <w:w w:val="83"/>
        </w:rPr>
        <w:t>省    自    然    资</w:t>
      </w:r>
      <w:r>
        <w:rPr>
          <w:color w:val="FF0000"/>
          <w:spacing w:val="59"/>
        </w:rPr>
        <w:t xml:space="preserve">  </w:t>
      </w:r>
      <w:r>
        <w:rPr>
          <w:color w:val="FF0000"/>
          <w:spacing w:val="-72"/>
          <w:w w:val="83"/>
        </w:rPr>
        <w:t>源</w:t>
      </w:r>
      <w:r>
        <w:rPr>
          <w:color w:val="FF0000"/>
          <w:spacing w:val="60"/>
        </w:rPr>
        <w:t xml:space="preserve">  </w:t>
      </w:r>
      <w:r>
        <w:rPr>
          <w:color w:val="FF0000"/>
          <w:spacing w:val="-72"/>
          <w:w w:val="83"/>
        </w:rPr>
        <w:t>厅</w:t>
      </w:r>
    </w:p>
    <w:p>
      <w:pPr>
        <w:pStyle w:val="BodyText"/>
        <w:ind w:left="806"/>
        <w:spacing w:before="2" w:line="206" w:lineRule="auto"/>
        <w:rPr/>
      </w:pPr>
      <w:r>
        <w:rPr>
          <w:color w:val="FF0000"/>
          <w:spacing w:val="-13"/>
          <w:w w:val="70"/>
        </w:rPr>
        <w:t>湖</w:t>
      </w:r>
      <w:r>
        <w:rPr>
          <w:color w:val="FF0000"/>
          <w:spacing w:val="75"/>
        </w:rPr>
        <w:t xml:space="preserve">  </w:t>
      </w:r>
      <w:r>
        <w:rPr>
          <w:color w:val="FF0000"/>
          <w:spacing w:val="-13"/>
          <w:w w:val="70"/>
        </w:rPr>
        <w:t>北</w:t>
      </w:r>
      <w:r>
        <w:rPr>
          <w:color w:val="FF0000"/>
          <w:spacing w:val="64"/>
        </w:rPr>
        <w:t xml:space="preserve">  </w:t>
      </w:r>
      <w:r>
        <w:rPr>
          <w:color w:val="FF0000"/>
          <w:spacing w:val="-13"/>
          <w:w w:val="70"/>
        </w:rPr>
        <w:t>省</w:t>
      </w:r>
      <w:r>
        <w:rPr>
          <w:color w:val="FF0000"/>
          <w:spacing w:val="62"/>
        </w:rPr>
        <w:t xml:space="preserve">  </w:t>
      </w:r>
      <w:r>
        <w:rPr>
          <w:color w:val="FF0000"/>
          <w:spacing w:val="-13"/>
          <w:w w:val="70"/>
        </w:rPr>
        <w:t>交</w:t>
      </w:r>
      <w:r>
        <w:rPr>
          <w:color w:val="FF0000"/>
          <w:spacing w:val="59"/>
        </w:rPr>
        <w:t xml:space="preserve">  </w:t>
      </w:r>
      <w:r>
        <w:rPr>
          <w:color w:val="FF0000"/>
          <w:spacing w:val="-13"/>
          <w:w w:val="70"/>
        </w:rPr>
        <w:t>通</w:t>
      </w:r>
      <w:r>
        <w:rPr>
          <w:color w:val="FF0000"/>
          <w:spacing w:val="61"/>
        </w:rPr>
        <w:t xml:space="preserve">  </w:t>
      </w:r>
      <w:r>
        <w:rPr>
          <w:color w:val="FF0000"/>
          <w:spacing w:val="-13"/>
          <w:w w:val="70"/>
        </w:rPr>
        <w:t>运</w:t>
      </w:r>
      <w:r>
        <w:rPr>
          <w:color w:val="FF0000"/>
          <w:spacing w:val="58"/>
        </w:rPr>
        <w:t xml:space="preserve">  </w:t>
      </w:r>
      <w:r>
        <w:rPr>
          <w:color w:val="FF0000"/>
          <w:spacing w:val="-13"/>
          <w:w w:val="70"/>
        </w:rPr>
        <w:t>输</w:t>
      </w:r>
      <w:r>
        <w:rPr>
          <w:color w:val="FF0000"/>
          <w:spacing w:val="59"/>
        </w:rPr>
        <w:t xml:space="preserve">  </w:t>
      </w:r>
      <w:r>
        <w:rPr>
          <w:color w:val="FF0000"/>
          <w:spacing w:val="-13"/>
          <w:w w:val="70"/>
        </w:rPr>
        <w:t>厅</w:t>
      </w:r>
    </w:p>
    <w:p>
      <w:pPr>
        <w:pStyle w:val="BodyText"/>
        <w:ind w:left="806"/>
        <w:spacing w:before="2" w:line="201" w:lineRule="auto"/>
        <w:rPr/>
      </w:pPr>
      <w:r>
        <w:rPr>
          <w:color w:val="FF0000"/>
          <w:spacing w:val="-14"/>
          <w:w w:val="72"/>
        </w:rPr>
        <w:t>湖</w:t>
      </w:r>
      <w:r>
        <w:rPr>
          <w:color w:val="FF0000"/>
          <w:spacing w:val="32"/>
        </w:rPr>
        <w:t xml:space="preserve">    </w:t>
      </w:r>
      <w:r>
        <w:rPr>
          <w:color w:val="FF0000"/>
          <w:spacing w:val="-14"/>
          <w:w w:val="72"/>
        </w:rPr>
        <w:t>北</w:t>
      </w:r>
      <w:r>
        <w:rPr>
          <w:color w:val="FF0000"/>
          <w:spacing w:val="35"/>
        </w:rPr>
        <w:t xml:space="preserve">    </w:t>
      </w:r>
      <w:r>
        <w:rPr>
          <w:color w:val="FF0000"/>
          <w:spacing w:val="-14"/>
          <w:w w:val="72"/>
        </w:rPr>
        <w:t>省</w:t>
      </w:r>
      <w:r>
        <w:rPr>
          <w:color w:val="FF0000"/>
          <w:spacing w:val="34"/>
        </w:rPr>
        <w:t xml:space="preserve">    </w:t>
      </w:r>
      <w:r>
        <w:rPr>
          <w:color w:val="FF0000"/>
          <w:spacing w:val="-14"/>
          <w:w w:val="72"/>
        </w:rPr>
        <w:t>水</w:t>
      </w:r>
      <w:r>
        <w:rPr>
          <w:color w:val="FF0000"/>
          <w:spacing w:val="34"/>
        </w:rPr>
        <w:t xml:space="preserve">    </w:t>
      </w:r>
      <w:r>
        <w:rPr>
          <w:color w:val="FF0000"/>
          <w:spacing w:val="-14"/>
          <w:w w:val="72"/>
        </w:rPr>
        <w:t>利</w:t>
      </w:r>
      <w:r>
        <w:rPr>
          <w:color w:val="FF0000"/>
          <w:spacing w:val="34"/>
        </w:rPr>
        <w:t xml:space="preserve">    </w:t>
      </w:r>
      <w:r>
        <w:rPr>
          <w:color w:val="FF0000"/>
          <w:spacing w:val="-14"/>
          <w:w w:val="72"/>
        </w:rPr>
        <w:t>厅</w:t>
      </w:r>
    </w:p>
    <w:p>
      <w:pPr>
        <w:spacing w:line="120" w:lineRule="exact"/>
        <w:rPr/>
      </w:pPr>
      <w:r>
        <w:rPr>
          <w:position w:val="-2"/>
        </w:rPr>
        <w:drawing>
          <wp:inline distT="0" distB="0" distL="0" distR="0">
            <wp:extent cx="6120030" cy="76200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2003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27" w:lineRule="auto"/>
        <w:rPr>
          <w:rFonts w:ascii="Arial"/>
          <w:sz w:val="21"/>
        </w:rPr>
      </w:pPr>
      <w:r/>
    </w:p>
    <w:p>
      <w:pPr>
        <w:spacing w:line="327" w:lineRule="auto"/>
        <w:rPr>
          <w:rFonts w:ascii="Arial"/>
          <w:sz w:val="21"/>
        </w:rPr>
      </w:pPr>
      <w:r/>
    </w:p>
    <w:p>
      <w:pPr>
        <w:ind w:left="6148"/>
        <w:spacing w:before="101" w:line="219" w:lineRule="auto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鄂建函〔2025〕166</w:t>
      </w:r>
      <w:r>
        <w:rPr>
          <w:rFonts w:ascii="FangSong_GB2312" w:hAnsi="FangSong_GB2312" w:eastAsia="FangSong_GB2312" w:cs="FangSong_GB2312"/>
          <w:sz w:val="31"/>
          <w:szCs w:val="31"/>
          <w:spacing w:val="-44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号</w:t>
      </w:r>
    </w:p>
    <w:p>
      <w:pPr>
        <w:spacing w:line="403" w:lineRule="auto"/>
        <w:rPr>
          <w:rFonts w:ascii="Arial"/>
          <w:sz w:val="21"/>
        </w:rPr>
      </w:pPr>
      <w:r/>
    </w:p>
    <w:p>
      <w:pPr>
        <w:ind w:left="546"/>
        <w:spacing w:before="185" w:line="211" w:lineRule="auto"/>
        <w:outlineLvl w:val="0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spacing w:val="-2"/>
        </w:rPr>
        <w:t>关于印发《〈省政府办公厅关于加快推进绿色</w:t>
      </w:r>
    </w:p>
    <w:p>
      <w:pPr>
        <w:ind w:left="1318"/>
        <w:spacing w:before="70" w:line="211" w:lineRule="auto"/>
        <w:outlineLvl w:val="0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spacing w:val="9"/>
        </w:rPr>
        <w:t>智能建造产业发展的实施意见〉贯彻</w:t>
      </w:r>
    </w:p>
    <w:p>
      <w:pPr>
        <w:ind w:left="3081"/>
        <w:spacing w:before="71" w:line="211" w:lineRule="auto"/>
        <w:outlineLvl w:val="0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spacing w:val="8"/>
        </w:rPr>
        <w:t>落实措施》的通知</w:t>
      </w:r>
    </w:p>
    <w:p>
      <w:pPr>
        <w:spacing w:line="291" w:lineRule="auto"/>
        <w:rPr>
          <w:rFonts w:ascii="Arial"/>
          <w:sz w:val="21"/>
        </w:rPr>
      </w:pPr>
      <w:r/>
    </w:p>
    <w:p>
      <w:pPr>
        <w:spacing w:line="292" w:lineRule="auto"/>
        <w:rPr>
          <w:rFonts w:ascii="Arial"/>
          <w:sz w:val="21"/>
        </w:rPr>
      </w:pPr>
      <w:r/>
    </w:p>
    <w:p>
      <w:pPr>
        <w:ind w:left="419" w:right="382" w:firstLine="1"/>
        <w:spacing w:before="101" w:line="356" w:lineRule="auto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各市、州、直管市、神农架林区自然资源和城乡建设局、住房和</w:t>
      </w: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城市更新局、财政局、交通运输局、水利局：</w:t>
      </w:r>
    </w:p>
    <w:p>
      <w:pPr>
        <w:ind w:left="421" w:right="376" w:firstLine="650"/>
        <w:spacing w:before="2" w:line="357" w:lineRule="auto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z w:val="31"/>
          <w:szCs w:val="31"/>
          <w:spacing w:val="4"/>
        </w:rPr>
        <w:t>为深入贯彻落实《湖北省人民政府办公厅关于加快推进绿色</w:t>
      </w: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智能建造产业发展的实施意见》（鄂政办发〔202</w:t>
      </w:r>
      <w:r>
        <w:rPr>
          <w:rFonts w:ascii="FangSong_GB2312" w:hAnsi="FangSong_GB2312" w:eastAsia="FangSong_GB2312" w:cs="FangSong_GB2312"/>
          <w:sz w:val="31"/>
          <w:szCs w:val="31"/>
          <w:spacing w:val="4"/>
        </w:rPr>
        <w:t>5〕42</w:t>
      </w:r>
      <w:r>
        <w:rPr>
          <w:rFonts w:ascii="FangSong_GB2312" w:hAnsi="FangSong_GB2312" w:eastAsia="FangSong_GB2312" w:cs="FangSong_GB2312"/>
          <w:sz w:val="31"/>
          <w:szCs w:val="31"/>
          <w:spacing w:val="-40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4"/>
        </w:rPr>
        <w:t>号</w:t>
      </w:r>
      <w:r>
        <w:rPr>
          <w:rFonts w:ascii="FangSong_GB2312" w:hAnsi="FangSong_GB2312" w:eastAsia="FangSong_GB2312" w:cs="FangSong_GB2312"/>
          <w:sz w:val="31"/>
          <w:szCs w:val="31"/>
          <w:spacing w:val="-52"/>
        </w:rPr>
        <w:t>），</w:t>
      </w:r>
      <w:r>
        <w:rPr>
          <w:rFonts w:ascii="FangSong_GB2312" w:hAnsi="FangSong_GB2312" w:eastAsia="FangSong_GB2312" w:cs="FangSong_GB2312"/>
          <w:sz w:val="31"/>
          <w:szCs w:val="31"/>
          <w:spacing w:val="4"/>
        </w:rPr>
        <w:t>现</w:t>
      </w: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将《〈省政府办公厅关于加快推进绿色智能建造产业发展的实施</w:t>
      </w:r>
    </w:p>
    <w:p>
      <w:pPr>
        <w:spacing w:line="386" w:lineRule="auto"/>
        <w:rPr>
          <w:rFonts w:ascii="Arial"/>
          <w:sz w:val="21"/>
        </w:rPr>
      </w:pPr>
      <w:r/>
    </w:p>
    <w:p>
      <w:pPr>
        <w:ind w:firstLine="92"/>
        <w:spacing w:before="1" w:line="120" w:lineRule="exact"/>
        <w:rPr/>
      </w:pPr>
      <w:r>
        <w:rPr>
          <w:position w:val="-2"/>
        </w:rPr>
        <w:drawing>
          <wp:inline distT="0" distB="0" distL="0" distR="0">
            <wp:extent cx="6029225" cy="76199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29225" cy="7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0" w:lineRule="exact"/>
        <w:sectPr>
          <w:pgSz w:w="11906" w:h="16838"/>
          <w:pgMar w:top="1431" w:right="1090" w:bottom="0" w:left="1176" w:header="0" w:footer="0" w:gutter="0"/>
        </w:sectPr>
        <w:rPr/>
      </w:pPr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ind w:left="19"/>
        <w:spacing w:before="101" w:line="220" w:lineRule="auto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z w:val="31"/>
          <w:szCs w:val="31"/>
          <w:spacing w:val="3"/>
        </w:rPr>
        <w:t>意见〉贯彻落实措施》</w:t>
      </w:r>
      <w:r>
        <w:rPr>
          <w:rFonts w:ascii="FangSong_GB2312" w:hAnsi="FangSong_GB2312" w:eastAsia="FangSong_GB2312" w:cs="FangSong_GB2312"/>
          <w:sz w:val="31"/>
          <w:szCs w:val="31"/>
          <w:spacing w:val="-78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3"/>
        </w:rPr>
        <w:t>印发给你们，请认真贯彻执行。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left="1621" w:hanging="961"/>
        <w:spacing w:before="100" w:line="356" w:lineRule="auto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z w:val="31"/>
          <w:szCs w:val="31"/>
          <w:spacing w:val="1"/>
        </w:rPr>
        <w:t>附件：《省政府办公厅关于加快推进绿色智能建造产业发展</w:t>
      </w:r>
      <w:r>
        <w:rPr>
          <w:rFonts w:ascii="FangSong_GB2312" w:hAnsi="FangSong_GB2312" w:eastAsia="FangSong_GB2312" w:cs="FangSong_GB2312"/>
          <w:sz w:val="31"/>
          <w:szCs w:val="31"/>
          <w:spacing w:val="6"/>
        </w:rPr>
        <w:t>的实施意见》贯彻落实措施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left="8"/>
        <w:spacing w:before="101" w:line="219" w:lineRule="auto"/>
        <w:rPr>
          <w:rFonts w:ascii="FangSong_GB2312" w:hAnsi="FangSong_GB2312" w:eastAsia="FangSong_GB2312" w:cs="FangSong_GB2312"/>
          <w:sz w:val="31"/>
          <w:szCs w:val="31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287836</wp:posOffset>
            </wp:positionH>
            <wp:positionV relativeFrom="paragraph">
              <wp:posOffset>-706317</wp:posOffset>
            </wp:positionV>
            <wp:extent cx="1619999" cy="1619999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19999" cy="161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3467992</wp:posOffset>
            </wp:positionH>
            <wp:positionV relativeFrom="paragraph">
              <wp:posOffset>-687267</wp:posOffset>
            </wp:positionV>
            <wp:extent cx="1619999" cy="1619999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19999" cy="161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_GB2312" w:hAnsi="FangSong_GB2312" w:eastAsia="FangSong_GB2312" w:cs="FangSong_GB2312"/>
          <w:sz w:val="31"/>
          <w:szCs w:val="31"/>
          <w:spacing w:val="7"/>
        </w:rPr>
        <w:t>湖北省住房和城乡建设厅</w:t>
      </w:r>
      <w:r>
        <w:rPr>
          <w:rFonts w:ascii="FangSong_GB2312" w:hAnsi="FangSong_GB2312" w:eastAsia="FangSong_GB2312" w:cs="FangSong_GB2312"/>
          <w:sz w:val="31"/>
          <w:szCs w:val="31"/>
          <w:spacing w:val="7"/>
        </w:rPr>
        <w:t xml:space="preserve">               </w:t>
      </w:r>
      <w:r>
        <w:rPr>
          <w:rFonts w:ascii="FangSong_GB2312" w:hAnsi="FangSong_GB2312" w:eastAsia="FangSong_GB2312" w:cs="FangSong_GB2312"/>
          <w:sz w:val="31"/>
          <w:szCs w:val="31"/>
          <w:spacing w:val="7"/>
        </w:rPr>
        <w:t>湖北省财</w:t>
      </w:r>
      <w:r>
        <w:rPr>
          <w:rFonts w:ascii="FangSong_GB2312" w:hAnsi="FangSong_GB2312" w:eastAsia="FangSong_GB2312" w:cs="FangSong_GB2312"/>
          <w:sz w:val="31"/>
          <w:szCs w:val="31"/>
          <w:spacing w:val="6"/>
        </w:rPr>
        <w:t>政厅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ind w:left="330"/>
        <w:spacing w:before="101" w:line="220" w:lineRule="auto"/>
        <w:rPr>
          <w:rFonts w:ascii="FangSong_GB2312" w:hAnsi="FangSong_GB2312" w:eastAsia="FangSong_GB2312" w:cs="FangSong_GB2312"/>
          <w:sz w:val="31"/>
          <w:szCs w:val="31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231743</wp:posOffset>
            </wp:positionH>
            <wp:positionV relativeFrom="paragraph">
              <wp:posOffset>-920962</wp:posOffset>
            </wp:positionV>
            <wp:extent cx="1619996" cy="1619999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19996" cy="161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3620342</wp:posOffset>
            </wp:positionH>
            <wp:positionV relativeFrom="paragraph">
              <wp:posOffset>-821280</wp:posOffset>
            </wp:positionV>
            <wp:extent cx="1619999" cy="1619999"/>
            <wp:effectExtent l="0" t="0" r="0" b="0"/>
            <wp:wrapNone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19999" cy="161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_GB2312" w:hAnsi="FangSong_GB2312" w:eastAsia="FangSong_GB2312" w:cs="FangSong_GB2312"/>
          <w:sz w:val="31"/>
          <w:szCs w:val="31"/>
          <w:spacing w:val="6"/>
        </w:rPr>
        <w:t>湖北省自然资源厅</w:t>
      </w:r>
      <w:r>
        <w:rPr>
          <w:rFonts w:ascii="FangSong_GB2312" w:hAnsi="FangSong_GB2312" w:eastAsia="FangSong_GB2312" w:cs="FangSong_GB2312"/>
          <w:sz w:val="31"/>
          <w:szCs w:val="31"/>
          <w:spacing w:val="6"/>
        </w:rPr>
        <w:t xml:space="preserve">                  </w:t>
      </w:r>
      <w:r>
        <w:rPr>
          <w:rFonts w:ascii="FangSong_GB2312" w:hAnsi="FangSong_GB2312" w:eastAsia="FangSong_GB2312" w:cs="FangSong_GB2312"/>
          <w:sz w:val="31"/>
          <w:szCs w:val="31"/>
          <w:spacing w:val="6"/>
        </w:rPr>
        <w:t>湖北省交通运输厅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ind w:left="6090"/>
        <w:spacing w:before="100" w:line="221" w:lineRule="auto"/>
        <w:rPr>
          <w:rFonts w:ascii="FangSong_GB2312" w:hAnsi="FangSong_GB2312" w:eastAsia="FangSong_GB2312" w:cs="FangSong_GB2312"/>
          <w:sz w:val="31"/>
          <w:szCs w:val="31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3655292</wp:posOffset>
            </wp:positionH>
            <wp:positionV relativeFrom="paragraph">
              <wp:posOffset>-625545</wp:posOffset>
            </wp:positionV>
            <wp:extent cx="1511998" cy="1511998"/>
            <wp:effectExtent l="0" t="0" r="0" b="0"/>
            <wp:wrapNone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11998" cy="1511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_GB2312" w:hAnsi="FangSong_GB2312" w:eastAsia="FangSong_GB2312" w:cs="FangSong_GB2312"/>
          <w:sz w:val="31"/>
          <w:szCs w:val="31"/>
          <w:spacing w:val="6"/>
        </w:rPr>
        <w:t>湖北省水利厅</w:t>
      </w:r>
    </w:p>
    <w:p>
      <w:pPr>
        <w:ind w:left="5771"/>
        <w:spacing w:before="229" w:line="220" w:lineRule="auto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z w:val="31"/>
          <w:szCs w:val="31"/>
          <w:spacing w:val="-8"/>
        </w:rPr>
        <w:t>2025</w:t>
      </w:r>
      <w:r>
        <w:rPr>
          <w:rFonts w:ascii="FangSong_GB2312" w:hAnsi="FangSong_GB2312" w:eastAsia="FangSong_GB2312" w:cs="FangSong_GB2312"/>
          <w:sz w:val="31"/>
          <w:szCs w:val="31"/>
          <w:spacing w:val="-50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-8"/>
        </w:rPr>
        <w:t>年</w:t>
      </w:r>
      <w:r>
        <w:rPr>
          <w:rFonts w:ascii="FangSong_GB2312" w:hAnsi="FangSong_GB2312" w:eastAsia="FangSong_GB2312" w:cs="FangSong_GB2312"/>
          <w:sz w:val="31"/>
          <w:szCs w:val="31"/>
          <w:spacing w:val="-40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-8"/>
        </w:rPr>
        <w:t>12</w:t>
      </w:r>
      <w:r>
        <w:rPr>
          <w:rFonts w:ascii="FangSong_GB2312" w:hAnsi="FangSong_GB2312" w:eastAsia="FangSong_GB2312" w:cs="FangSong_GB2312"/>
          <w:sz w:val="31"/>
          <w:szCs w:val="31"/>
          <w:spacing w:val="-44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-8"/>
        </w:rPr>
        <w:t>月</w:t>
      </w:r>
      <w:r>
        <w:rPr>
          <w:rFonts w:ascii="FangSong_GB2312" w:hAnsi="FangSong_GB2312" w:eastAsia="FangSong_GB2312" w:cs="FangSong_GB2312"/>
          <w:sz w:val="31"/>
          <w:szCs w:val="31"/>
          <w:spacing w:val="-38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-8"/>
        </w:rPr>
        <w:t>31</w:t>
      </w:r>
      <w:r>
        <w:rPr>
          <w:rFonts w:ascii="FangSong_GB2312" w:hAnsi="FangSong_GB2312" w:eastAsia="FangSong_GB2312" w:cs="FangSong_GB2312"/>
          <w:sz w:val="31"/>
          <w:szCs w:val="31"/>
          <w:spacing w:val="-8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-8"/>
        </w:rPr>
        <w:t>日</w:t>
      </w:r>
    </w:p>
    <w:p>
      <w:pPr>
        <w:spacing w:line="220" w:lineRule="auto"/>
        <w:sectPr>
          <w:footerReference w:type="default" r:id="rId3"/>
          <w:pgSz w:w="11906" w:h="16838"/>
          <w:pgMar w:top="1431" w:right="1540" w:bottom="1750" w:left="1599" w:header="0" w:footer="1383" w:gutter="0"/>
        </w:sectPr>
        <w:rPr>
          <w:rFonts w:ascii="FangSong_GB2312" w:hAnsi="FangSong_GB2312" w:eastAsia="FangSong_GB2312" w:cs="FangSong_GB2312"/>
          <w:sz w:val="31"/>
          <w:szCs w:val="31"/>
        </w:rPr>
      </w:pPr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ind w:left="23"/>
        <w:spacing w:before="101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3"/>
        </w:rPr>
        <w:t>附件</w:t>
      </w:r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ind w:left="907" w:right="299" w:hanging="694"/>
        <w:spacing w:before="184" w:line="242" w:lineRule="auto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spacing w:val="10"/>
        </w:rPr>
        <w:t>《省政府办公厅关于加快推进绿色智能建造</w:t>
      </w:r>
      <w:r>
        <w:rPr>
          <w:rFonts w:ascii="Microsoft YaHei" w:hAnsi="Microsoft YaHei" w:eastAsia="Microsoft YaHei" w:cs="Microsoft YaHei"/>
          <w:sz w:val="43"/>
          <w:szCs w:val="43"/>
          <w:spacing w:val="9"/>
        </w:rPr>
        <w:t>产业发展的实施意见》贯彻落实措施</w:t>
      </w:r>
    </w:p>
    <w:p>
      <w:pPr>
        <w:spacing w:line="409" w:lineRule="auto"/>
        <w:rPr>
          <w:rFonts w:ascii="Arial"/>
          <w:sz w:val="21"/>
        </w:rPr>
      </w:pPr>
      <w:r/>
    </w:p>
    <w:p>
      <w:pPr>
        <w:ind w:left="6" w:firstLine="650"/>
        <w:spacing w:before="100" w:line="357" w:lineRule="auto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z w:val="31"/>
          <w:szCs w:val="31"/>
          <w:spacing w:val="4"/>
        </w:rPr>
        <w:t>为深入贯彻落实《湖北省人民政府办公厅关于加快推进绿色</w:t>
      </w:r>
      <w:r>
        <w:rPr>
          <w:rFonts w:ascii="FangSong_GB2312" w:hAnsi="FangSong_GB2312" w:eastAsia="FangSong_GB2312" w:cs="FangSong_GB2312"/>
          <w:sz w:val="31"/>
          <w:szCs w:val="31"/>
          <w:spacing w:val="6"/>
        </w:rPr>
        <w:t>智能建造产业发展的实施意见》（鄂政办发〔2025〕42</w:t>
      </w:r>
      <w:r>
        <w:rPr>
          <w:rFonts w:ascii="FangSong_GB2312" w:hAnsi="FangSong_GB2312" w:eastAsia="FangSong_GB2312" w:cs="FangSong_GB2312"/>
          <w:sz w:val="31"/>
          <w:szCs w:val="31"/>
          <w:spacing w:val="-36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6"/>
        </w:rPr>
        <w:t>号）,加</w:t>
      </w:r>
      <w:r>
        <w:rPr>
          <w:rFonts w:ascii="FangSong_GB2312" w:hAnsi="FangSong_GB2312" w:eastAsia="FangSong_GB2312" w:cs="FangSong_GB2312"/>
          <w:sz w:val="31"/>
          <w:szCs w:val="31"/>
          <w:spacing w:val="7"/>
        </w:rPr>
        <w:t>快推进全省建筑业绿色智能转型和高质量发展，提出如下措施。</w:t>
      </w:r>
    </w:p>
    <w:p>
      <w:pPr>
        <w:ind w:left="651"/>
        <w:spacing w:before="1" w:line="228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一、推广应用</w:t>
      </w:r>
      <w:r>
        <w:rPr>
          <w:rFonts w:ascii="SimHei" w:hAnsi="SimHei" w:eastAsia="SimHei" w:cs="SimHei"/>
          <w:sz w:val="31"/>
          <w:szCs w:val="31"/>
          <w:spacing w:val="-62"/>
        </w:rPr>
        <w:t xml:space="preserve"> </w:t>
      </w:r>
      <w:r>
        <w:rPr>
          <w:rFonts w:ascii="SimHei" w:hAnsi="SimHei" w:eastAsia="SimHei" w:cs="SimHei"/>
          <w:sz w:val="31"/>
          <w:szCs w:val="31"/>
        </w:rPr>
        <w:t>BIM</w:t>
      </w:r>
      <w:r>
        <w:rPr>
          <w:rFonts w:ascii="SimHei" w:hAnsi="SimHei" w:eastAsia="SimHei" w:cs="SimHei"/>
          <w:sz w:val="31"/>
          <w:szCs w:val="31"/>
          <w:spacing w:val="-61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6"/>
        </w:rPr>
        <w:t>技术</w:t>
      </w:r>
    </w:p>
    <w:p>
      <w:pPr>
        <w:ind w:right="7" w:firstLine="638"/>
        <w:spacing w:before="220" w:line="357" w:lineRule="auto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z w:val="31"/>
          <w:szCs w:val="31"/>
          <w:spacing w:val="4"/>
        </w:rPr>
        <w:t>（一）加强</w:t>
      </w:r>
      <w:r>
        <w:rPr>
          <w:rFonts w:ascii="FangSong_GB2312" w:hAnsi="FangSong_GB2312" w:eastAsia="FangSong_GB2312" w:cs="FangSong_GB2312"/>
          <w:sz w:val="31"/>
          <w:szCs w:val="31"/>
          <w:spacing w:val="-53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BIM</w:t>
      </w:r>
      <w:r>
        <w:rPr>
          <w:rFonts w:ascii="FangSong_GB2312" w:hAnsi="FangSong_GB2312" w:eastAsia="FangSong_GB2312" w:cs="FangSong_GB2312"/>
          <w:sz w:val="31"/>
          <w:szCs w:val="31"/>
          <w:spacing w:val="-6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4"/>
        </w:rPr>
        <w:t>全流程管理。设计图审阶段，建设单位在提</w:t>
      </w:r>
      <w:r>
        <w:rPr>
          <w:rFonts w:ascii="FangSong_GB2312" w:hAnsi="FangSong_GB2312" w:eastAsia="FangSong_GB2312" w:cs="FangSong_GB2312"/>
          <w:sz w:val="31"/>
          <w:szCs w:val="31"/>
          <w:spacing w:val="8"/>
        </w:rPr>
        <w:t>供项目施工图设计文件时，应同时提供</w:t>
      </w:r>
      <w:r>
        <w:rPr>
          <w:rFonts w:ascii="FangSong_GB2312" w:hAnsi="FangSong_GB2312" w:eastAsia="FangSong_GB2312" w:cs="FangSong_GB2312"/>
          <w:sz w:val="31"/>
          <w:szCs w:val="31"/>
        </w:rPr>
        <w:t>BIM</w:t>
      </w:r>
      <w:r>
        <w:rPr>
          <w:rFonts w:ascii="FangSong_GB2312" w:hAnsi="FangSong_GB2312" w:eastAsia="FangSong_GB2312" w:cs="FangSong_GB2312"/>
          <w:sz w:val="31"/>
          <w:szCs w:val="31"/>
          <w:spacing w:val="-62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8"/>
        </w:rPr>
        <w:t>模型，未提供</w:t>
      </w:r>
      <w:r>
        <w:rPr>
          <w:rFonts w:ascii="FangSong_GB2312" w:hAnsi="FangSong_GB2312" w:eastAsia="FangSong_GB2312" w:cs="FangSong_GB2312"/>
          <w:sz w:val="31"/>
          <w:szCs w:val="31"/>
          <w:spacing w:val="-63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BIM</w:t>
      </w:r>
      <w:r>
        <w:rPr>
          <w:rFonts w:ascii="FangSong_GB2312" w:hAnsi="FangSong_GB2312" w:eastAsia="FangSong_GB2312" w:cs="FangSong_GB2312"/>
          <w:sz w:val="31"/>
          <w:szCs w:val="31"/>
          <w:spacing w:val="-66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8"/>
        </w:rPr>
        <w:t>模</w:t>
      </w: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型的，审查机构不得出具合格书。招投标阶段，招标文件应在施</w:t>
      </w:r>
      <w:r>
        <w:rPr>
          <w:rFonts w:ascii="FangSong_GB2312" w:hAnsi="FangSong_GB2312" w:eastAsia="FangSong_GB2312" w:cs="FangSong_GB2312"/>
          <w:sz w:val="31"/>
          <w:szCs w:val="31"/>
          <w:spacing w:val="4"/>
        </w:rPr>
        <w:t>工组织方案中明确</w:t>
      </w:r>
      <w:r>
        <w:rPr>
          <w:rFonts w:ascii="FangSong_GB2312" w:hAnsi="FangSong_GB2312" w:eastAsia="FangSong_GB2312" w:cs="FangSong_GB2312"/>
          <w:sz w:val="31"/>
          <w:szCs w:val="31"/>
          <w:spacing w:val="-44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BIM</w:t>
      </w:r>
      <w:r>
        <w:rPr>
          <w:rFonts w:ascii="FangSong_GB2312" w:hAnsi="FangSong_GB2312" w:eastAsia="FangSong_GB2312" w:cs="FangSong_GB2312"/>
          <w:sz w:val="31"/>
          <w:szCs w:val="31"/>
          <w:spacing w:val="-57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4"/>
        </w:rPr>
        <w:t>技术应用要求、评审标准及分值。施工及</w:t>
      </w:r>
      <w:r>
        <w:rPr>
          <w:rFonts w:ascii="FangSong_GB2312" w:hAnsi="FangSong_GB2312" w:eastAsia="FangSong_GB2312" w:cs="FangSong_GB2312"/>
          <w:sz w:val="31"/>
          <w:szCs w:val="31"/>
          <w:spacing w:val="6"/>
        </w:rPr>
        <w:t>验收阶段，施工单位应采用</w:t>
      </w:r>
      <w:r>
        <w:rPr>
          <w:rFonts w:ascii="FangSong_GB2312" w:hAnsi="FangSong_GB2312" w:eastAsia="FangSong_GB2312" w:cs="FangSong_GB2312"/>
          <w:sz w:val="31"/>
          <w:szCs w:val="31"/>
          <w:spacing w:val="-53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BIM</w:t>
      </w:r>
      <w:r>
        <w:rPr>
          <w:rFonts w:ascii="FangSong_GB2312" w:hAnsi="FangSong_GB2312" w:eastAsia="FangSong_GB2312" w:cs="FangSong_GB2312"/>
          <w:sz w:val="31"/>
          <w:szCs w:val="31"/>
          <w:spacing w:val="-64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6"/>
        </w:rPr>
        <w:t>模型驱动项目管理和现场建造，</w:t>
      </w:r>
      <w:r>
        <w:rPr>
          <w:rFonts w:ascii="FangSong_GB2312" w:hAnsi="FangSong_GB2312" w:eastAsia="FangSong_GB2312" w:cs="FangSong_GB2312"/>
          <w:sz w:val="31"/>
          <w:szCs w:val="31"/>
          <w:spacing w:val="7"/>
        </w:rPr>
        <w:t>建设单位应组织</w:t>
      </w:r>
      <w:r>
        <w:rPr>
          <w:rFonts w:ascii="FangSong_GB2312" w:hAnsi="FangSong_GB2312" w:eastAsia="FangSong_GB2312" w:cs="FangSong_GB2312"/>
          <w:sz w:val="31"/>
          <w:szCs w:val="31"/>
          <w:spacing w:val="-5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BIM</w:t>
      </w:r>
      <w:r>
        <w:rPr>
          <w:rFonts w:ascii="FangSong_GB2312" w:hAnsi="FangSong_GB2312" w:eastAsia="FangSong_GB2312" w:cs="FangSong_GB2312"/>
          <w:sz w:val="31"/>
          <w:szCs w:val="31"/>
          <w:spacing w:val="-55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7"/>
        </w:rPr>
        <w:t>应用成果验收，项目竣工资料必须包含</w:t>
      </w:r>
      <w:r>
        <w:rPr>
          <w:rFonts w:ascii="FangSong_GB2312" w:hAnsi="FangSong_GB2312" w:eastAsia="FangSong_GB2312" w:cs="FangSong_GB2312"/>
          <w:sz w:val="31"/>
          <w:szCs w:val="31"/>
          <w:spacing w:val="-60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BIM</w:t>
      </w: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竣工交付成果及验收意见。运维阶段，运维单位</w:t>
      </w:r>
      <w:r>
        <w:rPr>
          <w:rFonts w:ascii="FangSong_GB2312" w:hAnsi="FangSong_GB2312" w:eastAsia="FangSong_GB2312" w:cs="FangSong_GB2312"/>
          <w:sz w:val="31"/>
          <w:szCs w:val="31"/>
          <w:spacing w:val="4"/>
        </w:rPr>
        <w:t>应使用</w:t>
      </w:r>
      <w:r>
        <w:rPr>
          <w:rFonts w:ascii="FangSong_GB2312" w:hAnsi="FangSong_GB2312" w:eastAsia="FangSong_GB2312" w:cs="FangSong_GB2312"/>
          <w:sz w:val="31"/>
          <w:szCs w:val="31"/>
          <w:spacing w:val="-6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BIM</w:t>
      </w:r>
      <w:r>
        <w:rPr>
          <w:rFonts w:ascii="FangSong_GB2312" w:hAnsi="FangSong_GB2312" w:eastAsia="FangSong_GB2312" w:cs="FangSong_GB2312"/>
          <w:sz w:val="31"/>
          <w:szCs w:val="31"/>
          <w:spacing w:val="-63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4"/>
        </w:rPr>
        <w:t>模型</w:t>
      </w:r>
      <w:r>
        <w:rPr>
          <w:rFonts w:ascii="FangSong_GB2312" w:hAnsi="FangSong_GB2312" w:eastAsia="FangSong_GB2312" w:cs="FangSong_GB2312"/>
          <w:sz w:val="31"/>
          <w:szCs w:val="31"/>
          <w:spacing w:val="4"/>
        </w:rPr>
        <w:t>开展运维管理。建设单位应在编制项目投资概算时将</w:t>
      </w:r>
      <w:r>
        <w:rPr>
          <w:rFonts w:ascii="FangSong_GB2312" w:hAnsi="FangSong_GB2312" w:eastAsia="FangSong_GB2312" w:cs="FangSong_GB2312"/>
          <w:sz w:val="31"/>
          <w:szCs w:val="31"/>
          <w:spacing w:val="-44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BIM</w:t>
      </w:r>
      <w:r>
        <w:rPr>
          <w:rFonts w:ascii="FangSong_GB2312" w:hAnsi="FangSong_GB2312" w:eastAsia="FangSong_GB2312" w:cs="FangSong_GB2312"/>
          <w:sz w:val="31"/>
          <w:szCs w:val="31"/>
          <w:spacing w:val="-57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4"/>
        </w:rPr>
        <w:t>技术应</w:t>
      </w:r>
      <w:r>
        <w:rPr>
          <w:rFonts w:ascii="FangSong_GB2312" w:hAnsi="FangSong_GB2312" w:eastAsia="FangSong_GB2312" w:cs="FangSong_GB2312"/>
          <w:sz w:val="31"/>
          <w:szCs w:val="31"/>
          <w:spacing w:val="8"/>
        </w:rPr>
        <w:t>用费用单独列支。</w:t>
      </w:r>
    </w:p>
    <w:p>
      <w:pPr>
        <w:ind w:left="6" w:right="45" w:firstLine="632"/>
        <w:spacing w:before="2" w:line="357" w:lineRule="auto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z w:val="31"/>
          <w:szCs w:val="31"/>
          <w:spacing w:val="18"/>
        </w:rPr>
        <w:t>（二）加强部门协同。住建部门应会同相关部门定</w:t>
      </w:r>
      <w:r>
        <w:rPr>
          <w:rFonts w:ascii="FangSong_GB2312" w:hAnsi="FangSong_GB2312" w:eastAsia="FangSong_GB2312" w:cs="FangSong_GB2312"/>
          <w:sz w:val="31"/>
          <w:szCs w:val="31"/>
          <w:spacing w:val="17"/>
        </w:rPr>
        <w:t>期评估</w:t>
      </w:r>
      <w:r>
        <w:rPr>
          <w:rFonts w:ascii="FangSong_GB2312" w:hAnsi="FangSong_GB2312" w:eastAsia="FangSong_GB2312" w:cs="FangSong_GB2312"/>
          <w:sz w:val="31"/>
          <w:szCs w:val="31"/>
        </w:rPr>
        <w:t>BIM</w:t>
      </w:r>
      <w:r>
        <w:rPr>
          <w:rFonts w:ascii="FangSong_GB2312" w:hAnsi="FangSong_GB2312" w:eastAsia="FangSong_GB2312" w:cs="FangSong_GB2312"/>
          <w:sz w:val="31"/>
          <w:szCs w:val="31"/>
          <w:spacing w:val="-50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9"/>
        </w:rPr>
        <w:t>技术应用情况。交通运输、水利等部门应明确各自领域</w:t>
      </w:r>
      <w:r>
        <w:rPr>
          <w:rFonts w:ascii="FangSong_GB2312" w:hAnsi="FangSong_GB2312" w:eastAsia="FangSong_GB2312" w:cs="FangSong_GB2312"/>
          <w:sz w:val="31"/>
          <w:szCs w:val="31"/>
          <w:spacing w:val="-6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BIM</w:t>
      </w:r>
      <w:r>
        <w:rPr>
          <w:rFonts w:ascii="FangSong_GB2312" w:hAnsi="FangSong_GB2312" w:eastAsia="FangSong_GB2312" w:cs="FangSong_GB2312"/>
          <w:sz w:val="31"/>
          <w:szCs w:val="31"/>
          <w:spacing w:val="7"/>
        </w:rPr>
        <w:t>技术应用要求，并引入</w:t>
      </w:r>
      <w:r>
        <w:rPr>
          <w:rFonts w:ascii="FangSong_GB2312" w:hAnsi="FangSong_GB2312" w:eastAsia="FangSong_GB2312" w:cs="FangSong_GB2312"/>
          <w:sz w:val="31"/>
          <w:szCs w:val="31"/>
          <w:spacing w:val="-46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BIM</w:t>
      </w:r>
      <w:r>
        <w:rPr>
          <w:rFonts w:ascii="FangSong_GB2312" w:hAnsi="FangSong_GB2312" w:eastAsia="FangSong_GB2312" w:cs="FangSong_GB2312"/>
          <w:sz w:val="31"/>
          <w:szCs w:val="31"/>
          <w:spacing w:val="-58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7"/>
        </w:rPr>
        <w:t>技术辅助建设监管。</w:t>
      </w:r>
    </w:p>
    <w:p>
      <w:pPr>
        <w:spacing w:line="357" w:lineRule="auto"/>
        <w:sectPr>
          <w:footerReference w:type="default" r:id="rId9"/>
          <w:pgSz w:w="11906" w:h="16838"/>
          <w:pgMar w:top="1431" w:right="1429" w:bottom="1750" w:left="1592" w:header="0" w:footer="1386" w:gutter="0"/>
        </w:sectPr>
        <w:rPr>
          <w:rFonts w:ascii="FangSong_GB2312" w:hAnsi="FangSong_GB2312" w:eastAsia="FangSong_GB2312" w:cs="FangSong_GB2312"/>
          <w:sz w:val="31"/>
          <w:szCs w:val="31"/>
        </w:rPr>
      </w:pPr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ind w:left="649"/>
        <w:spacing w:before="100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二、推行工程总承包</w:t>
      </w:r>
    </w:p>
    <w:p>
      <w:pPr>
        <w:ind w:left="10" w:right="43" w:firstLine="626"/>
        <w:spacing w:before="221" w:line="357" w:lineRule="auto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（一）2026</w:t>
      </w:r>
      <w:r>
        <w:rPr>
          <w:rFonts w:ascii="FangSong_GB2312" w:hAnsi="FangSong_GB2312" w:eastAsia="FangSong_GB2312" w:cs="FangSong_GB2312"/>
          <w:sz w:val="31"/>
          <w:szCs w:val="31"/>
          <w:spacing w:val="-42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年</w:t>
      </w:r>
      <w:r>
        <w:rPr>
          <w:rFonts w:ascii="FangSong_GB2312" w:hAnsi="FangSong_GB2312" w:eastAsia="FangSong_GB2312" w:cs="FangSong_GB2312"/>
          <w:sz w:val="31"/>
          <w:szCs w:val="31"/>
          <w:spacing w:val="-36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1</w:t>
      </w:r>
      <w:r>
        <w:rPr>
          <w:rFonts w:ascii="FangSong_GB2312" w:hAnsi="FangSong_GB2312" w:eastAsia="FangSong_GB2312" w:cs="FangSong_GB2312"/>
          <w:sz w:val="31"/>
          <w:szCs w:val="31"/>
          <w:spacing w:val="-4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月</w:t>
      </w:r>
      <w:r>
        <w:rPr>
          <w:rFonts w:ascii="FangSong_GB2312" w:hAnsi="FangSong_GB2312" w:eastAsia="FangSong_GB2312" w:cs="FangSong_GB2312"/>
          <w:sz w:val="31"/>
          <w:szCs w:val="31"/>
          <w:spacing w:val="-36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1</w:t>
      </w:r>
      <w:r>
        <w:rPr>
          <w:rFonts w:ascii="FangSong_GB2312" w:hAnsi="FangSong_GB2312" w:eastAsia="FangSong_GB2312" w:cs="FangSong_GB2312"/>
          <w:sz w:val="31"/>
          <w:szCs w:val="31"/>
          <w:spacing w:val="5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日起，全省政府投资的房屋建筑、市</w:t>
      </w: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政工程项目须采用工程总承包模式，鼓励社会投资项目采用工程</w:t>
      </w:r>
      <w:r>
        <w:rPr>
          <w:rFonts w:ascii="FangSong_GB2312" w:hAnsi="FangSong_GB2312" w:eastAsia="FangSong_GB2312" w:cs="FangSong_GB2312"/>
          <w:sz w:val="31"/>
          <w:szCs w:val="31"/>
          <w:spacing w:val="4"/>
        </w:rPr>
        <w:t>总承包模式。</w:t>
      </w:r>
    </w:p>
    <w:p>
      <w:pPr>
        <w:ind w:left="7" w:right="46" w:firstLine="629"/>
        <w:spacing w:before="1" w:line="357" w:lineRule="auto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（二）按照《国务院办公厅关于大力发展装配式建筑的指导</w:t>
      </w:r>
      <w:r>
        <w:rPr>
          <w:rFonts w:ascii="FangSong_GB2312" w:hAnsi="FangSong_GB2312" w:eastAsia="FangSong_GB2312" w:cs="FangSong_GB2312"/>
          <w:sz w:val="31"/>
          <w:szCs w:val="31"/>
          <w:spacing w:val="1"/>
        </w:rPr>
        <w:t>意见》（国办发〔2016〕71</w:t>
      </w:r>
      <w:r>
        <w:rPr>
          <w:rFonts w:ascii="FangSong_GB2312" w:hAnsi="FangSong_GB2312" w:eastAsia="FangSong_GB2312" w:cs="FangSong_GB2312"/>
          <w:sz w:val="31"/>
          <w:szCs w:val="31"/>
          <w:spacing w:val="-4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1"/>
        </w:rPr>
        <w:t>号）要求，装配式建筑原则上采用工</w:t>
      </w:r>
      <w:r>
        <w:rPr>
          <w:rFonts w:ascii="FangSong_GB2312" w:hAnsi="FangSong_GB2312" w:eastAsia="FangSong_GB2312" w:cs="FangSong_GB2312"/>
          <w:sz w:val="31"/>
          <w:szCs w:val="31"/>
          <w:spacing w:val="1"/>
        </w:rPr>
        <w:t>程总承包模式。</w:t>
      </w:r>
    </w:p>
    <w:p>
      <w:pPr>
        <w:ind w:left="10" w:right="46" w:firstLine="626"/>
        <w:spacing w:before="2" w:line="356" w:lineRule="auto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（三）工程总承包项目原则上以经批复的初步设计概算为预</w:t>
      </w: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算评审依据，根据评审结论组织实施招标投标工作，施工图预算</w:t>
      </w:r>
      <w:r>
        <w:rPr>
          <w:rFonts w:ascii="FangSong_GB2312" w:hAnsi="FangSong_GB2312" w:eastAsia="FangSong_GB2312" w:cs="FangSong_GB2312"/>
          <w:sz w:val="31"/>
          <w:szCs w:val="31"/>
          <w:spacing w:val="8"/>
        </w:rPr>
        <w:t>不得超过对应的评审结论及合同金额。</w:t>
      </w:r>
    </w:p>
    <w:p>
      <w:pPr>
        <w:ind w:left="650"/>
        <w:spacing w:before="3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三、推广装配式建筑</w:t>
      </w:r>
    </w:p>
    <w:p>
      <w:pPr>
        <w:ind w:right="7" w:firstLine="636"/>
        <w:spacing w:before="219" w:line="357" w:lineRule="auto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（一）装配式建筑应采用预制楼板、楼梯、内隔墙和竖向构</w:t>
      </w:r>
      <w:r>
        <w:rPr>
          <w:rFonts w:ascii="FangSong_GB2312" w:hAnsi="FangSong_GB2312" w:eastAsia="FangSong_GB2312" w:cs="FangSong_GB2312"/>
          <w:sz w:val="31"/>
          <w:szCs w:val="31"/>
          <w:spacing w:val="4"/>
        </w:rPr>
        <w:t>件等标准化构件，</w:t>
      </w:r>
      <w:r>
        <w:rPr>
          <w:rFonts w:ascii="FangSong_GB2312" w:hAnsi="FangSong_GB2312" w:eastAsia="FangSong_GB2312" w:cs="FangSong_GB2312"/>
          <w:sz w:val="31"/>
          <w:szCs w:val="31"/>
          <w:spacing w:val="-75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spacing w:val="4"/>
        </w:rPr>
        <w:t>带水房间应采用防水底盘等一体化施工技术，</w:t>
      </w:r>
      <w:r>
        <w:rPr>
          <w:rFonts w:ascii="FangSong_GB2312" w:hAnsi="FangSong_GB2312" w:eastAsia="FangSong_GB2312" w:cs="FangSong_GB2312"/>
          <w:sz w:val="31"/>
          <w:szCs w:val="31"/>
          <w:spacing w:val="7"/>
        </w:rPr>
        <w:t>鼓励应用集成厨卫。</w:t>
      </w:r>
    </w:p>
    <w:p>
      <w:pPr>
        <w:ind w:left="17" w:firstLine="619"/>
        <w:spacing w:before="1" w:line="357" w:lineRule="auto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（二）国有土地出让（划拨）时，可将装配式建筑要求纳入</w:t>
      </w: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国有建设用地出让（划拨）方案。土地成交后，装配式</w:t>
      </w:r>
      <w:r>
        <w:rPr>
          <w:rFonts w:ascii="FangSong_GB2312" w:hAnsi="FangSong_GB2312" w:eastAsia="FangSong_GB2312" w:cs="FangSong_GB2312"/>
          <w:sz w:val="31"/>
          <w:szCs w:val="31"/>
          <w:spacing w:val="4"/>
        </w:rPr>
        <w:t>建筑要求</w:t>
      </w:r>
      <w:r>
        <w:rPr>
          <w:rFonts w:ascii="FangSong_GB2312" w:hAnsi="FangSong_GB2312" w:eastAsia="FangSong_GB2312" w:cs="FangSong_GB2312"/>
          <w:sz w:val="31"/>
          <w:szCs w:val="31"/>
          <w:spacing w:val="6"/>
        </w:rPr>
        <w:t>可纳入国有建设用地使用权出让合同或者国有土地划拨决定书。</w:t>
      </w:r>
    </w:p>
    <w:p>
      <w:pPr>
        <w:ind w:left="13" w:right="43" w:firstLine="622"/>
        <w:spacing w:before="5" w:line="357" w:lineRule="auto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（三）建设单位在项目建议书、可行性研究报告中应明确装</w:t>
      </w: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配式建筑相关要求，以装配式建筑相关计价依据开展投资估算编</w:t>
      </w:r>
      <w:r>
        <w:rPr>
          <w:rFonts w:ascii="FangSong_GB2312" w:hAnsi="FangSong_GB2312" w:eastAsia="FangSong_GB2312" w:cs="FangSong_GB2312"/>
          <w:sz w:val="31"/>
          <w:szCs w:val="31"/>
          <w:spacing w:val="-19"/>
        </w:rPr>
        <w:t>制。</w:t>
      </w:r>
    </w:p>
    <w:p>
      <w:pPr>
        <w:ind w:right="47"/>
        <w:spacing w:before="1" w:line="218" w:lineRule="auto"/>
        <w:jc w:val="right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（四）将落实装配式建筑标准和规定作为施工图设计文件审</w:t>
      </w:r>
    </w:p>
    <w:p>
      <w:pPr>
        <w:spacing w:line="218" w:lineRule="auto"/>
        <w:sectPr>
          <w:footerReference w:type="default" r:id="rId10"/>
          <w:pgSz w:w="11906" w:h="16838"/>
          <w:pgMar w:top="1431" w:right="1429" w:bottom="1750" w:left="1594" w:header="0" w:footer="1383" w:gutter="0"/>
        </w:sectPr>
        <w:rPr>
          <w:rFonts w:ascii="FangSong_GB2312" w:hAnsi="FangSong_GB2312" w:eastAsia="FangSong_GB2312" w:cs="FangSong_GB2312"/>
          <w:sz w:val="31"/>
          <w:szCs w:val="31"/>
        </w:rPr>
      </w:pPr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ind w:left="17" w:hanging="17"/>
        <w:spacing w:before="101" w:line="357" w:lineRule="auto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查重要内容，经审查合格的，方可出具施工图设计文件审查合格</w:t>
      </w:r>
      <w:r>
        <w:rPr>
          <w:rFonts w:ascii="FangSong_GB2312" w:hAnsi="FangSong_GB2312" w:eastAsia="FangSong_GB2312" w:cs="FangSong_GB2312"/>
          <w:sz w:val="31"/>
          <w:szCs w:val="31"/>
          <w:spacing w:val="-21"/>
        </w:rPr>
        <w:t>书。</w:t>
      </w:r>
    </w:p>
    <w:p>
      <w:pPr>
        <w:ind w:left="1" w:right="1" w:firstLine="631"/>
        <w:spacing w:before="6" w:line="356" w:lineRule="auto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（五）各市州住建部门要加强装配式建筑施工监管，重点控</w:t>
      </w: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制好进场构件质量验收、构件吊装质量安全及构件安装节点施工</w:t>
      </w:r>
      <w:r>
        <w:rPr>
          <w:rFonts w:ascii="FangSong_GB2312" w:hAnsi="FangSong_GB2312" w:eastAsia="FangSong_GB2312" w:cs="FangSong_GB2312"/>
          <w:sz w:val="31"/>
          <w:szCs w:val="31"/>
          <w:spacing w:val="5"/>
        </w:rPr>
        <w:t>质量。在竣工验收阶段复核装配式建筑技术评分，复核情况纳入</w:t>
      </w:r>
      <w:r>
        <w:rPr>
          <w:rFonts w:ascii="FangSong_GB2312" w:hAnsi="FangSong_GB2312" w:eastAsia="FangSong_GB2312" w:cs="FangSong_GB2312"/>
          <w:sz w:val="31"/>
          <w:szCs w:val="31"/>
          <w:spacing w:val="1"/>
        </w:rPr>
        <w:t>竣工验收报告。</w:t>
      </w:r>
    </w:p>
    <w:sectPr>
      <w:footerReference w:type="default" r:id="rId11"/>
      <w:pgSz w:w="11906" w:h="16838"/>
      <w:pgMar w:top="1431" w:right="1470" w:bottom="1750" w:left="1598" w:header="0" w:footer="1386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ZXiaoBiaoSong-B05S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3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8"/>
      </w:rPr>
      <w:t>—</w:t>
    </w:r>
    <w:r>
      <w:rPr>
        <w:rFonts w:ascii="SimSun" w:hAnsi="SimSun" w:eastAsia="SimSun" w:cs="SimSun"/>
        <w:sz w:val="28"/>
        <w:szCs w:val="28"/>
        <w:spacing w:val="14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2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40"/>
      <w:spacing w:line="233" w:lineRule="auto"/>
      <w:jc w:val="right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8"/>
      </w:rPr>
      <w:t>—</w:t>
    </w:r>
    <w:r>
      <w:rPr>
        <w:rFonts w:ascii="SimSun" w:hAnsi="SimSun" w:eastAsia="SimSun" w:cs="SimSun"/>
        <w:sz w:val="28"/>
        <w:szCs w:val="28"/>
        <w:spacing w:val="15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3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"/>
      <w:spacing w:line="23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6"/>
      </w:rPr>
      <w:t>—</w:t>
    </w:r>
    <w:r>
      <w:rPr>
        <w:rFonts w:ascii="SimSun" w:hAnsi="SimSun" w:eastAsia="SimSun" w:cs="SimSun"/>
        <w:sz w:val="28"/>
        <w:szCs w:val="28"/>
        <w:spacing w:val="8"/>
      </w:rPr>
      <w:t xml:space="preserve"> </w:t>
    </w:r>
    <w:r>
      <w:rPr>
        <w:rFonts w:ascii="SimSun" w:hAnsi="SimSun" w:eastAsia="SimSun" w:cs="SimSun"/>
        <w:sz w:val="28"/>
        <w:szCs w:val="28"/>
        <w:spacing w:val="-6"/>
      </w:rPr>
      <w:t>4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6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33" w:lineRule="auto"/>
      <w:jc w:val="right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3"/>
      </w:rPr>
      <w:t>—</w:t>
    </w:r>
    <w:r>
      <w:rPr>
        <w:rFonts w:ascii="SimSun" w:hAnsi="SimSun" w:eastAsia="SimSun" w:cs="SimSun"/>
        <w:sz w:val="28"/>
        <w:szCs w:val="28"/>
        <w:spacing w:val="16"/>
      </w:rPr>
      <w:t xml:space="preserve"> </w:t>
    </w:r>
    <w:r>
      <w:rPr>
        <w:rFonts w:ascii="SimSun" w:hAnsi="SimSun" w:eastAsia="SimSun" w:cs="SimSun"/>
        <w:sz w:val="28"/>
        <w:szCs w:val="28"/>
        <w:spacing w:val="-12"/>
      </w:rPr>
      <w:t>5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ZXiaoBiaoSong-B05S" w:hAnsi="FZXiaoBiaoSong-B05S" w:eastAsia="FZXiaoBiaoSong-B05S" w:cs="FZXiaoBiaoSong-B05S"/>
      <w:sz w:val="83"/>
      <w:szCs w:val="8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image" Target="media/image7.png"/><Relationship Id="rId7" Type="http://schemas.openxmlformats.org/officeDocument/2006/relationships/image" Target="media/image6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Relationship Id="rId3" Type="http://schemas.openxmlformats.org/officeDocument/2006/relationships/footer" Target="footer1.xml"/><Relationship Id="rId2" Type="http://schemas.openxmlformats.org/officeDocument/2006/relationships/image" Target="media/image2.png"/><Relationship Id="rId14" Type="http://schemas.openxmlformats.org/officeDocument/2006/relationships/fontTable" Target="fontTable.xml"/><Relationship Id="rId13" Type="http://schemas.openxmlformats.org/officeDocument/2006/relationships/styles" Target="styles.xml"/><Relationship Id="rId12" Type="http://schemas.openxmlformats.org/officeDocument/2006/relationships/settings" Target="settings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1900</dc:creator>
  <dcterms:created xsi:type="dcterms:W3CDTF">2026-01-29T16:16:07Z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2026-06-15T09:58:36</vt:filetime>
  </property>
</Properties>
</file>